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F82" w:rsidRPr="00491F82" w:rsidRDefault="00491F82" w:rsidP="002A3355">
      <w:pPr>
        <w:tabs>
          <w:tab w:val="left" w:pos="3015"/>
        </w:tabs>
        <w:spacing w:line="480" w:lineRule="auto"/>
        <w:ind w:firstLine="2160"/>
        <w:jc w:val="center"/>
        <w:rPr>
          <w:rFonts w:ascii="Times New Roman" w:hAnsi="Times New Roman" w:cs="Times New Roman"/>
          <w:sz w:val="24"/>
          <w:szCs w:val="24"/>
        </w:rPr>
      </w:pPr>
    </w:p>
    <w:p w:rsidR="00491F82" w:rsidRPr="00491F82" w:rsidRDefault="00491F82" w:rsidP="002A3355">
      <w:pPr>
        <w:tabs>
          <w:tab w:val="left" w:pos="3015"/>
        </w:tabs>
        <w:spacing w:line="480" w:lineRule="auto"/>
        <w:ind w:firstLine="2160"/>
        <w:jc w:val="center"/>
        <w:rPr>
          <w:rFonts w:ascii="Times New Roman" w:hAnsi="Times New Roman" w:cs="Times New Roman"/>
          <w:sz w:val="24"/>
          <w:szCs w:val="24"/>
        </w:rPr>
      </w:pPr>
    </w:p>
    <w:p w:rsidR="00491F82" w:rsidRPr="00491F82" w:rsidRDefault="00491F82" w:rsidP="002A3355">
      <w:pPr>
        <w:tabs>
          <w:tab w:val="left" w:pos="3015"/>
        </w:tabs>
        <w:spacing w:line="480" w:lineRule="auto"/>
        <w:ind w:firstLine="2160"/>
        <w:jc w:val="center"/>
        <w:rPr>
          <w:rFonts w:ascii="Times New Roman" w:hAnsi="Times New Roman" w:cs="Times New Roman"/>
          <w:sz w:val="24"/>
          <w:szCs w:val="24"/>
        </w:rPr>
      </w:pPr>
    </w:p>
    <w:p w:rsidR="005A34BF" w:rsidRDefault="005A34BF" w:rsidP="005A34BF">
      <w:pPr>
        <w:tabs>
          <w:tab w:val="left" w:pos="3015"/>
        </w:tabs>
        <w:spacing w:line="480" w:lineRule="auto"/>
        <w:ind w:firstLine="2160"/>
        <w:rPr>
          <w:rFonts w:ascii="Times New Roman" w:hAnsi="Times New Roman" w:cs="Times New Roman"/>
          <w:sz w:val="24"/>
          <w:szCs w:val="24"/>
        </w:rPr>
      </w:pPr>
      <w:r>
        <w:rPr>
          <w:rFonts w:ascii="Times New Roman" w:hAnsi="Times New Roman" w:cs="Times New Roman"/>
          <w:sz w:val="24"/>
          <w:szCs w:val="24"/>
        </w:rPr>
        <w:t xml:space="preserve">               </w:t>
      </w:r>
    </w:p>
    <w:p w:rsidR="005A34BF" w:rsidRDefault="005A34BF" w:rsidP="005A34BF">
      <w:pPr>
        <w:tabs>
          <w:tab w:val="left" w:pos="3015"/>
        </w:tabs>
        <w:spacing w:line="480" w:lineRule="auto"/>
        <w:rPr>
          <w:rFonts w:ascii="Times New Roman" w:hAnsi="Times New Roman" w:cs="Times New Roman"/>
          <w:sz w:val="24"/>
          <w:szCs w:val="24"/>
        </w:rPr>
      </w:pPr>
    </w:p>
    <w:p w:rsidR="005A34BF" w:rsidRDefault="005A34BF" w:rsidP="005A34BF">
      <w:pPr>
        <w:tabs>
          <w:tab w:val="left" w:pos="3015"/>
        </w:tabs>
        <w:spacing w:line="480" w:lineRule="auto"/>
        <w:ind w:firstLine="2160"/>
        <w:rPr>
          <w:rFonts w:ascii="Times New Roman" w:hAnsi="Times New Roman" w:cs="Times New Roman"/>
          <w:sz w:val="24"/>
          <w:szCs w:val="24"/>
        </w:rPr>
      </w:pPr>
    </w:p>
    <w:p w:rsidR="00491F82" w:rsidRPr="00491F82" w:rsidRDefault="005A34BF" w:rsidP="005A34BF">
      <w:pPr>
        <w:tabs>
          <w:tab w:val="left" w:pos="3015"/>
        </w:tabs>
        <w:spacing w:line="480" w:lineRule="auto"/>
        <w:ind w:firstLine="2160"/>
        <w:rPr>
          <w:rFonts w:ascii="Times New Roman" w:hAnsi="Times New Roman" w:cs="Times New Roman"/>
          <w:sz w:val="24"/>
          <w:szCs w:val="24"/>
        </w:rPr>
      </w:pPr>
      <w:r>
        <w:rPr>
          <w:rFonts w:ascii="Times New Roman" w:hAnsi="Times New Roman" w:cs="Times New Roman"/>
          <w:sz w:val="24"/>
          <w:szCs w:val="24"/>
        </w:rPr>
        <w:t xml:space="preserve">              </w:t>
      </w:r>
      <w:r w:rsidR="00491F82" w:rsidRPr="00491F82">
        <w:rPr>
          <w:rFonts w:ascii="Times New Roman" w:hAnsi="Times New Roman" w:cs="Times New Roman"/>
          <w:sz w:val="24"/>
          <w:szCs w:val="24"/>
        </w:rPr>
        <w:t>Industry Analysis</w:t>
      </w:r>
      <w:sdt>
        <w:sdtPr>
          <w:rPr>
            <w:rFonts w:ascii="Times New Roman" w:hAnsi="Times New Roman" w:cs="Times New Roman"/>
            <w:sz w:val="24"/>
            <w:szCs w:val="24"/>
          </w:rPr>
          <w:id w:val="-634414448"/>
          <w:docPartObj>
            <w:docPartGallery w:val="Page Numbers (Top of Page)"/>
            <w:docPartUnique/>
          </w:docPartObj>
        </w:sdtPr>
        <w:sdtEndPr>
          <w:rPr>
            <w:noProof/>
          </w:rPr>
        </w:sdtEndPr>
        <w:sdtContent>
          <w:r w:rsidR="00491F82" w:rsidRPr="00491F82">
            <w:rPr>
              <w:rFonts w:ascii="Times New Roman" w:hAnsi="Times New Roman" w:cs="Times New Roman"/>
              <w:sz w:val="24"/>
              <w:szCs w:val="24"/>
            </w:rPr>
            <w:t>; Emaar Properties</w:t>
          </w:r>
        </w:sdtContent>
      </w:sdt>
    </w:p>
    <w:p w:rsidR="00491F82" w:rsidRPr="00491F82" w:rsidRDefault="005A34BF" w:rsidP="005A34BF">
      <w:pPr>
        <w:tabs>
          <w:tab w:val="left" w:pos="3015"/>
        </w:tabs>
        <w:spacing w:line="480" w:lineRule="auto"/>
        <w:rPr>
          <w:rFonts w:ascii="Times New Roman" w:hAnsi="Times New Roman" w:cs="Times New Roman"/>
          <w:sz w:val="24"/>
          <w:szCs w:val="24"/>
        </w:rPr>
      </w:pPr>
      <w:r>
        <w:rPr>
          <w:rFonts w:ascii="Times New Roman" w:hAnsi="Times New Roman" w:cs="Times New Roman"/>
          <w:sz w:val="24"/>
          <w:szCs w:val="24"/>
        </w:rPr>
        <w:t xml:space="preserve">                                                                             Name</w:t>
      </w:r>
    </w:p>
    <w:p w:rsidR="00491F82" w:rsidRPr="00491F82" w:rsidRDefault="005A34BF" w:rsidP="005A34BF">
      <w:pPr>
        <w:tabs>
          <w:tab w:val="left" w:pos="3015"/>
        </w:tabs>
        <w:spacing w:line="480" w:lineRule="auto"/>
        <w:ind w:firstLine="2160"/>
        <w:rPr>
          <w:rFonts w:ascii="Times New Roman" w:hAnsi="Times New Roman" w:cs="Times New Roman"/>
          <w:sz w:val="24"/>
          <w:szCs w:val="24"/>
        </w:rPr>
      </w:pPr>
      <w:r>
        <w:rPr>
          <w:rFonts w:ascii="Times New Roman" w:hAnsi="Times New Roman" w:cs="Times New Roman"/>
          <w:sz w:val="24"/>
          <w:szCs w:val="24"/>
        </w:rPr>
        <w:t xml:space="preserve">                                      Institution</w:t>
      </w:r>
    </w:p>
    <w:p w:rsidR="00491F82" w:rsidRPr="00491F82" w:rsidRDefault="005A34BF" w:rsidP="005A34BF">
      <w:pPr>
        <w:tabs>
          <w:tab w:val="left" w:pos="3015"/>
        </w:tabs>
        <w:spacing w:line="480" w:lineRule="auto"/>
        <w:ind w:firstLine="2160"/>
        <w:rPr>
          <w:rFonts w:ascii="Times New Roman" w:hAnsi="Times New Roman" w:cs="Times New Roman"/>
          <w:sz w:val="24"/>
          <w:szCs w:val="24"/>
        </w:rPr>
      </w:pPr>
      <w:r>
        <w:rPr>
          <w:rFonts w:ascii="Times New Roman" w:hAnsi="Times New Roman" w:cs="Times New Roman"/>
          <w:sz w:val="24"/>
          <w:szCs w:val="24"/>
        </w:rPr>
        <w:t xml:space="preserve">                                            Date</w:t>
      </w:r>
    </w:p>
    <w:p w:rsidR="00491F82" w:rsidRPr="00491F82" w:rsidRDefault="00491F82" w:rsidP="002A3355">
      <w:pPr>
        <w:ind w:firstLine="2160"/>
        <w:rPr>
          <w:rFonts w:ascii="Times New Roman" w:hAnsi="Times New Roman" w:cs="Times New Roman"/>
          <w:sz w:val="24"/>
          <w:szCs w:val="24"/>
        </w:rPr>
      </w:pPr>
    </w:p>
    <w:p w:rsidR="00491F82" w:rsidRPr="00491F82" w:rsidRDefault="00491F82" w:rsidP="002A3355">
      <w:pPr>
        <w:spacing w:line="480" w:lineRule="auto"/>
        <w:ind w:firstLine="2160"/>
        <w:rPr>
          <w:rFonts w:ascii="Times New Roman" w:hAnsi="Times New Roman" w:cs="Times New Roman"/>
          <w:sz w:val="24"/>
          <w:szCs w:val="24"/>
        </w:rPr>
      </w:pPr>
    </w:p>
    <w:p w:rsidR="00491F82" w:rsidRPr="00491F82" w:rsidRDefault="00491F82" w:rsidP="002A3355">
      <w:pPr>
        <w:ind w:firstLine="2160"/>
        <w:rPr>
          <w:rFonts w:ascii="Times New Roman" w:hAnsi="Times New Roman" w:cs="Times New Roman"/>
          <w:sz w:val="24"/>
          <w:szCs w:val="24"/>
        </w:rPr>
      </w:pPr>
      <w:r w:rsidRPr="00491F82">
        <w:rPr>
          <w:rFonts w:ascii="Times New Roman" w:hAnsi="Times New Roman" w:cs="Times New Roman"/>
          <w:sz w:val="24"/>
          <w:szCs w:val="24"/>
        </w:rPr>
        <w:br w:type="page"/>
      </w:r>
    </w:p>
    <w:p w:rsidR="00491F82" w:rsidRPr="002A3355" w:rsidRDefault="00491F82" w:rsidP="005A34BF">
      <w:pPr>
        <w:tabs>
          <w:tab w:val="left" w:pos="3015"/>
        </w:tabs>
        <w:spacing w:after="160" w:line="480" w:lineRule="auto"/>
        <w:ind w:firstLine="567"/>
        <w:jc w:val="center"/>
        <w:rPr>
          <w:rFonts w:ascii="Times New Roman" w:hAnsi="Times New Roman" w:cs="Times New Roman"/>
          <w:b/>
          <w:sz w:val="24"/>
          <w:szCs w:val="24"/>
        </w:rPr>
      </w:pPr>
      <w:bookmarkStart w:id="0" w:name="_GoBack"/>
      <w:r w:rsidRPr="002A3355">
        <w:rPr>
          <w:rFonts w:ascii="Times New Roman" w:hAnsi="Times New Roman" w:cs="Times New Roman"/>
          <w:b/>
          <w:sz w:val="24"/>
          <w:szCs w:val="24"/>
        </w:rPr>
        <w:lastRenderedPageBreak/>
        <w:t>Introduction</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 xml:space="preserve">Emaar properties is one of the world's leading real estate development companies established in 1997with headquarters in Dubai, UAE but with operation in the Middle East, North Africa, Europe, Pan-Asia and North America. It is listed at the Dubai Financial Market as a joint-stock company with an estimated valuation of $9.7Billion in 2018 June (AlEid, 2016). The group runs 60 companies under six business segments. It is highly valued and admired by many because of its proven competence in quality, innovativeness, timeliness and excellence in delivery. The company does property development, investment and development management activities. Their major projects include shopping malls, residential and commercial properties as well as hospitality development projects. It provides to its clients a vast range of services including development services, real estate investment advice, property management and financial support. They also sell plots and develop their own properties for sale like homes, villas, office space, hotels, leisure destinations, condominiums and retail centers.   </w:t>
      </w:r>
    </w:p>
    <w:p w:rsidR="003918DE" w:rsidRPr="003918DE" w:rsidRDefault="003918DE" w:rsidP="003918DE">
      <w:pPr>
        <w:tabs>
          <w:tab w:val="left" w:pos="3015"/>
        </w:tabs>
        <w:spacing w:after="160" w:line="480" w:lineRule="auto"/>
        <w:ind w:firstLine="567"/>
        <w:jc w:val="center"/>
        <w:rPr>
          <w:rFonts w:ascii="Times New Roman" w:hAnsi="Times New Roman" w:cs="Times New Roman"/>
          <w:b/>
          <w:sz w:val="24"/>
          <w:szCs w:val="24"/>
        </w:rPr>
      </w:pPr>
      <w:r w:rsidRPr="003918DE">
        <w:rPr>
          <w:rFonts w:ascii="Times New Roman" w:hAnsi="Times New Roman" w:cs="Times New Roman"/>
          <w:b/>
          <w:sz w:val="24"/>
          <w:szCs w:val="24"/>
        </w:rPr>
        <w:t>Analysis and Prediction of Industry Profitability</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The property market in Dubai has been the main focus for Emaar. Despite Dubai being an international hub with a high demand for property, it is said to be the world's fastest-growing city (AlEid, 2016). An average of about 300,000 people is visiting Dubai every week. In the early years, due to the inelasticity of demand, the rental income grew spontaneously by a rate of between 25% and 40%. To protect customers from exploitation, the government has set the maximum rent increase on all properties at 10% annually (AlEid, 2016). As a result, landlords maintained tenancy contracts period as short as possible, and most of the time did not renew existing contracts because new tenants offered up to 50% increase in rent.</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lastRenderedPageBreak/>
        <w:t>The high rent has been the motivating factor for most real estate developers in Dubai including Emaar. Residents got fed up and slowly opted to purchase homes rather than rent. This led to increased revenues for Emaar through home sales. Foreign investment inflow is another important factor for real estate success in Dubai. Being a tax-free country, capital investments are not taxed in Dubai. Doubled by the fact that the government offered expatriates residency for 99 years upon purchase of freehold property, there was a massive growth in the real estate market in Dubai.</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 xml:space="preserve">As a result of the above outlined enabling environment, Emaar made a remarkable number of developments across the market regions. However, since 2014 to date, the company has seen its profitability drop year on by at least a quarter due to continued slowing of the property market in Dubai. The company oversupplied in Dubai's residential real estate that led to a drop in rent prices and home purchase prices, leading to minimal profits. The decline in demand for residential homes is also contributing to the current falling of revenues. At the moment the market shows no recovery signs meaning the industry will continue to experience falling profits. </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 xml:space="preserve">An analysis of Emaar in relation to Porter's 5 forces reflects on the industry's competitive environment. Basically, it is a tool used to examine and improve the competitive edge and ensure the profitability of the company in the foreseeable future (Simani, 2017). Emaar has a progressive vision that allows the company to demonstrate its innovativeness through strategies and investment wisely. Five factors affect the competitiveness of Emaar within the industry; namely, competitive rivalry, threats of new entrants, the threat of substitutes, the bargaining power of suppliers and the bargaining power of customers. Emaar has effectively analyzed its competitive environment and effectively created a competitive edge which has enabled the company to survive the market and grow to its current status. </w:t>
      </w:r>
    </w:p>
    <w:p w:rsidR="003918DE" w:rsidRPr="003918DE" w:rsidRDefault="003918DE" w:rsidP="003918DE">
      <w:pPr>
        <w:tabs>
          <w:tab w:val="left" w:pos="3015"/>
        </w:tabs>
        <w:spacing w:after="160" w:line="480" w:lineRule="auto"/>
        <w:ind w:firstLine="567"/>
        <w:jc w:val="center"/>
        <w:rPr>
          <w:rFonts w:ascii="Times New Roman" w:hAnsi="Times New Roman" w:cs="Times New Roman"/>
          <w:i/>
          <w:sz w:val="24"/>
          <w:szCs w:val="24"/>
        </w:rPr>
      </w:pPr>
      <w:r w:rsidRPr="003918DE">
        <w:rPr>
          <w:rFonts w:ascii="Times New Roman" w:hAnsi="Times New Roman" w:cs="Times New Roman"/>
          <w:i/>
          <w:sz w:val="24"/>
          <w:szCs w:val="24"/>
        </w:rPr>
        <w:lastRenderedPageBreak/>
        <w:t>Competition rivalry</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 xml:space="preserve">Emaar has created strong brand overtime which stands among the leading real estate developing companies in the world. The company's internal strengths of image, skills resources and market leadership in addition to international presence and diversification of business development segments have widened its market scope and created a competitive edge over other players in the industry. Expansion globally, diversification and product differentiation have reduced concentration in a single market. Costs are relatively high in the industry; however, Emaar reduces them using its excess capacity. Exit is extremely low given that real estate is long term investments. </w:t>
      </w:r>
    </w:p>
    <w:p w:rsidR="003918DE" w:rsidRPr="003918DE" w:rsidRDefault="003918DE" w:rsidP="003918DE">
      <w:pPr>
        <w:tabs>
          <w:tab w:val="left" w:pos="3015"/>
        </w:tabs>
        <w:spacing w:after="160" w:line="480" w:lineRule="auto"/>
        <w:ind w:firstLine="567"/>
        <w:jc w:val="center"/>
        <w:rPr>
          <w:rFonts w:ascii="Times New Roman" w:hAnsi="Times New Roman" w:cs="Times New Roman"/>
          <w:i/>
          <w:sz w:val="24"/>
          <w:szCs w:val="24"/>
        </w:rPr>
      </w:pPr>
      <w:r w:rsidRPr="003918DE">
        <w:rPr>
          <w:rFonts w:ascii="Times New Roman" w:hAnsi="Times New Roman" w:cs="Times New Roman"/>
          <w:i/>
          <w:sz w:val="24"/>
          <w:szCs w:val="24"/>
        </w:rPr>
        <w:t>The threat of new entrants</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 xml:space="preserve">To establish a competitive edge while facing the threat of new entrants involves the creation of tactics by seasoned players to discourage them from entering the industry (Simani, 2017). Furthermore, the size of a company like Emaar would scare new firms from venturing in the market segment that they are operating in due to its ability to enjoy economies of scale, product differentiation, access to distribution channels and absolute cost advantage. Though there are minimal regulation barriers and retaliation, a new entrant to compete in the same level with Emaar would require a significant capital outlay. As a result, even if new players enter the market, they will lack the capacity, technical standards and culture to compete with Emaar. </w:t>
      </w:r>
    </w:p>
    <w:p w:rsidR="003918DE" w:rsidRPr="003918DE" w:rsidRDefault="003918DE" w:rsidP="003918DE">
      <w:pPr>
        <w:tabs>
          <w:tab w:val="left" w:pos="3015"/>
        </w:tabs>
        <w:spacing w:after="160" w:line="480" w:lineRule="auto"/>
        <w:ind w:firstLine="567"/>
        <w:jc w:val="center"/>
        <w:rPr>
          <w:rFonts w:ascii="Times New Roman" w:hAnsi="Times New Roman" w:cs="Times New Roman"/>
          <w:i/>
          <w:sz w:val="24"/>
          <w:szCs w:val="24"/>
        </w:rPr>
      </w:pPr>
      <w:r w:rsidRPr="003918DE">
        <w:rPr>
          <w:rFonts w:ascii="Times New Roman" w:hAnsi="Times New Roman" w:cs="Times New Roman"/>
          <w:i/>
          <w:sz w:val="24"/>
          <w:szCs w:val="24"/>
        </w:rPr>
        <w:t>The threat of substitute products.</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 xml:space="preserve">Substitute products refer to alternatives of better quality or relatively cheaper prices being available in the market. Companies existing in a given industry tend to produce products of similar quality and prices because they apply similar technology (Safari, et al., 2016). </w:t>
      </w:r>
      <w:r w:rsidRPr="003918DE">
        <w:rPr>
          <w:rFonts w:ascii="Times New Roman" w:hAnsi="Times New Roman" w:cs="Times New Roman"/>
          <w:sz w:val="24"/>
          <w:szCs w:val="24"/>
        </w:rPr>
        <w:lastRenderedPageBreak/>
        <w:t>Innovations leading to better quality or cheaper product by new players pose loss of business for existing companies. Emaar has consistently beaten competition from substitute real estate developments by consistently unveiling new technologies and innovations in their work. By so doing, they have been able to expand image presence and ensure loyalty from their clients hence consistently giving them a competitive edge over peers.</w:t>
      </w:r>
    </w:p>
    <w:p w:rsidR="003918DE" w:rsidRPr="003918DE" w:rsidRDefault="003918DE" w:rsidP="003918DE">
      <w:pPr>
        <w:tabs>
          <w:tab w:val="left" w:pos="3015"/>
        </w:tabs>
        <w:spacing w:after="160" w:line="480" w:lineRule="auto"/>
        <w:ind w:firstLine="567"/>
        <w:jc w:val="center"/>
        <w:rPr>
          <w:rFonts w:ascii="Times New Roman" w:hAnsi="Times New Roman" w:cs="Times New Roman"/>
          <w:i/>
          <w:sz w:val="24"/>
          <w:szCs w:val="24"/>
        </w:rPr>
      </w:pPr>
      <w:r w:rsidRPr="003918DE">
        <w:rPr>
          <w:rFonts w:ascii="Times New Roman" w:hAnsi="Times New Roman" w:cs="Times New Roman"/>
          <w:i/>
          <w:sz w:val="24"/>
          <w:szCs w:val="24"/>
        </w:rPr>
        <w:t>Bargaining power of suppliers</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Suppliers in the real estate range from providers of raw materials like steel, cement, building stones, furniture and roofing suppliers as well as the labor force. As noted by Safari et al., (2016), the impact of interfering with the cost or quality of any of such factors has a significant influence on any company's reputation and profitability. Emaar ensures stability in prices and quality of raw material and labour by engaging in a contractual agreement with the suppliers and employees. That act safeguards the company from adverse cost effects from in the long run.</w:t>
      </w:r>
    </w:p>
    <w:p w:rsidR="003918DE" w:rsidRPr="003918DE" w:rsidRDefault="003918DE" w:rsidP="003918DE">
      <w:pPr>
        <w:tabs>
          <w:tab w:val="left" w:pos="3015"/>
        </w:tabs>
        <w:spacing w:after="160" w:line="480" w:lineRule="auto"/>
        <w:ind w:firstLine="567"/>
        <w:jc w:val="center"/>
        <w:rPr>
          <w:rFonts w:ascii="Times New Roman" w:hAnsi="Times New Roman" w:cs="Times New Roman"/>
          <w:i/>
          <w:sz w:val="24"/>
          <w:szCs w:val="24"/>
        </w:rPr>
      </w:pPr>
      <w:r w:rsidRPr="003918DE">
        <w:rPr>
          <w:rFonts w:ascii="Times New Roman" w:hAnsi="Times New Roman" w:cs="Times New Roman"/>
          <w:i/>
          <w:sz w:val="24"/>
          <w:szCs w:val="24"/>
        </w:rPr>
        <w:t>Bargaining power of customers</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 xml:space="preserve">Buyers have the final say when it comes to survival and profitability of any product by imposing demands in terms of the quality or price of products and services. When selecting the market for products, it is important not to concentrate and depend on a certain location or a certain group of customers (Raharja, 2018). Emaar has really tried to beat that risk by diversifying their products and expanding to other regions. Through this strategy, Emaar has been able to avoid collapse through a decline in sales in one or more regions as a result of the high price sensitivity by customers and bargaining power. For instance, the current cooling off of </w:t>
      </w:r>
      <w:r w:rsidRPr="003918DE">
        <w:rPr>
          <w:rFonts w:ascii="Times New Roman" w:hAnsi="Times New Roman" w:cs="Times New Roman"/>
          <w:sz w:val="24"/>
          <w:szCs w:val="24"/>
        </w:rPr>
        <w:lastRenderedPageBreak/>
        <w:t xml:space="preserve">real estate sales in Dubai has resulted in dwarfing profits but has not crippled the profitability of the company entirely. </w:t>
      </w:r>
    </w:p>
    <w:p w:rsidR="003918DE" w:rsidRPr="003918DE" w:rsidRDefault="003918DE" w:rsidP="003918DE">
      <w:pPr>
        <w:tabs>
          <w:tab w:val="left" w:pos="3015"/>
        </w:tabs>
        <w:spacing w:after="160" w:line="480" w:lineRule="auto"/>
        <w:ind w:firstLine="567"/>
        <w:rPr>
          <w:rFonts w:ascii="Times New Roman" w:hAnsi="Times New Roman" w:cs="Times New Roman"/>
          <w:sz w:val="24"/>
          <w:szCs w:val="24"/>
        </w:rPr>
      </w:pPr>
      <w:r w:rsidRPr="003918DE">
        <w:rPr>
          <w:rFonts w:ascii="Times New Roman" w:hAnsi="Times New Roman" w:cs="Times New Roman"/>
          <w:sz w:val="24"/>
          <w:szCs w:val="24"/>
        </w:rPr>
        <w:t>Figure 1.1: Porter's 5 forces model in relation with Emaar Properties</w:t>
      </w:r>
    </w:p>
    <w:p w:rsidR="00086ABE" w:rsidRPr="00491F82" w:rsidRDefault="00086ABE" w:rsidP="002A3355">
      <w:pPr>
        <w:tabs>
          <w:tab w:val="left" w:pos="3015"/>
        </w:tabs>
        <w:spacing w:after="160" w:line="480" w:lineRule="auto"/>
        <w:ind w:firstLine="567"/>
        <w:rPr>
          <w:rFonts w:ascii="Times New Roman" w:hAnsi="Times New Roman" w:cs="Times New Roman"/>
          <w:sz w:val="24"/>
          <w:szCs w:val="24"/>
        </w:rPr>
      </w:pPr>
    </w:p>
    <w:p w:rsidR="00E27B86" w:rsidRPr="00491F82" w:rsidRDefault="005A34BF" w:rsidP="002A3355">
      <w:pPr>
        <w:tabs>
          <w:tab w:val="left" w:pos="3015"/>
        </w:tabs>
        <w:spacing w:after="160" w:line="480" w:lineRule="auto"/>
        <w:ind w:firstLine="567"/>
        <w:rPr>
          <w:rFonts w:ascii="Times New Roman" w:hAnsi="Times New Roman" w:cs="Times New Roman"/>
          <w:sz w:val="24"/>
          <w:szCs w:val="24"/>
        </w:rPr>
      </w:pPr>
      <w:r>
        <w:rPr>
          <w:rFonts w:ascii="Times New Roman" w:hAnsi="Times New Roman" w:cs="Times New Roman"/>
          <w:noProof/>
          <w:sz w:val="24"/>
          <w:szCs w:val="24"/>
        </w:rP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8" o:spid="_x0000_s1029" type="#_x0000_t104" style="position:absolute;left:0;text-align:left;margin-left:214.4pt;margin-top:140.65pt;width:64.05pt;height:34.3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" adj="17258,20514,5400" fillcolor="#4f81bd [3204]" strokecolor="#243f60 [1604]" strokeweight="2pt"/>
        </w:pict>
      </w:r>
      <w:r w:rsidR="00157837">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3" o:spid="_x0000_s1026" type="#_x0000_t32" style="position:absolute;left:0;text-align:left;margin-left:245.6pt;margin-top:110.3pt;width:0;height:30.3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" strokecolor="#4579b8 [3044]">
            <v:stroke endarrow="open"/>
          </v:shape>
        </w:pict>
      </w:r>
      <w:r w:rsidR="00157837">
        <w:rPr>
          <w:rFonts w:ascii="Times New Roman" w:hAnsi="Times New Roman" w:cs="Times New Roman"/>
          <w:noProof/>
          <w:sz w:val="24"/>
          <w:szCs w:val="24"/>
        </w:rPr>
        <w:pict>
          <v:shape id="Straight Arrow Connector 4" o:spid="_x0000_s1030" type="#_x0000_t32" style="position:absolute;left:0;text-align:left;margin-left:313.65pt;margin-top:206.05pt;width:34.3pt;height:1.3pt;flip:x;z-index:2516613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" strokecolor="#4579b8 [3044]">
            <v:stroke endarrow="open"/>
          </v:shape>
        </w:pict>
      </w:r>
      <w:r w:rsidR="00157837">
        <w:rPr>
          <w:rFonts w:ascii="Times New Roman" w:hAnsi="Times New Roman" w:cs="Times New Roman"/>
          <w:noProof/>
          <w:sz w:val="24"/>
          <w:szCs w:val="24"/>
        </w:rPr>
        <w:pict>
          <v:shape id="Straight Arrow Connector 5" o:spid="_x0000_s1028" type="#_x0000_t32" style="position:absolute;left:0;text-align:left;margin-left:140.65pt;margin-top:206.05pt;width:33pt;height:0;z-index:25166233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" strokecolor="#4579b8 [3044]">
            <v:stroke endarrow="open"/>
          </v:shape>
        </w:pict>
      </w:r>
      <w:r w:rsidR="00157837">
        <w:rPr>
          <w:rFonts w:ascii="Times New Roman" w:hAnsi="Times New Roman" w:cs="Times New Roman"/>
          <w:noProof/>
          <w:sz w:val="24"/>
          <w:szCs w:val="24"/>
        </w:rPr>
        <w:pict>
          <v:shape id="Straight Arrow Connector 6" o:spid="_x0000_s1027" type="#_x0000_t32" style="position:absolute;left:0;text-align:left;margin-left:241.75pt;margin-top:284.65pt;width:0;height:31.65pt;flip:y;z-index:2516633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" strokecolor="#4579b8 [3044]">
            <v:stroke endarrow="open"/>
          </v:shape>
        </w:pict>
      </w:r>
      <w:r w:rsidR="00E27B86" w:rsidRPr="00491F82">
        <w:rPr>
          <w:rFonts w:ascii="Times New Roman" w:hAnsi="Times New Roman" w:cs="Times New Roman"/>
          <w:noProof/>
          <w:sz w:val="24"/>
          <w:szCs w:val="24"/>
        </w:rPr>
        <w:drawing>
          <wp:inline distT="0" distB="0" distL="0" distR="0">
            <wp:extent cx="5486400" cy="5226341"/>
            <wp:effectExtent l="0" t="19050" r="0" b="12409"/>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691F13" w:rsidRDefault="00691F13" w:rsidP="002A3355">
      <w:pPr>
        <w:tabs>
          <w:tab w:val="left" w:pos="3015"/>
        </w:tabs>
        <w:spacing w:after="160" w:line="480" w:lineRule="auto"/>
        <w:ind w:firstLine="567"/>
        <w:rPr>
          <w:rFonts w:ascii="Times New Roman" w:hAnsi="Times New Roman" w:cs="Times New Roman"/>
          <w:sz w:val="24"/>
          <w:szCs w:val="24"/>
        </w:rPr>
      </w:pPr>
    </w:p>
    <w:p w:rsidR="00691F13" w:rsidRDefault="00691F13">
      <w:pPr>
        <w:rPr>
          <w:rFonts w:ascii="Times New Roman" w:hAnsi="Times New Roman" w:cs="Times New Roman"/>
          <w:sz w:val="24"/>
          <w:szCs w:val="24"/>
        </w:rPr>
      </w:pPr>
      <w:r>
        <w:rPr>
          <w:rFonts w:ascii="Times New Roman" w:hAnsi="Times New Roman" w:cs="Times New Roman"/>
          <w:sz w:val="24"/>
          <w:szCs w:val="24"/>
        </w:rPr>
        <w:br w:type="page"/>
      </w:r>
    </w:p>
    <w:p w:rsidR="005C094A" w:rsidRPr="002A3355" w:rsidRDefault="005A34BF" w:rsidP="005A34BF">
      <w:pPr>
        <w:tabs>
          <w:tab w:val="left" w:pos="3015"/>
        </w:tabs>
        <w:spacing w:after="160"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lastRenderedPageBreak/>
        <w:t>Drawing Industry B</w:t>
      </w:r>
      <w:r w:rsidR="005C094A" w:rsidRPr="002A3355">
        <w:rPr>
          <w:rFonts w:ascii="Times New Roman" w:hAnsi="Times New Roman" w:cs="Times New Roman"/>
          <w:b/>
          <w:sz w:val="24"/>
          <w:szCs w:val="24"/>
        </w:rPr>
        <w:t>oundaries</w:t>
      </w:r>
    </w:p>
    <w:bookmarkEnd w:id="0"/>
    <w:p w:rsidR="003918DE" w:rsidRPr="003918DE" w:rsidRDefault="003918DE" w:rsidP="003918DE">
      <w:pPr>
        <w:tabs>
          <w:tab w:val="left" w:pos="3015"/>
        </w:tabs>
        <w:spacing w:after="160" w:line="480" w:lineRule="auto"/>
        <w:ind w:firstLine="562"/>
        <w:rPr>
          <w:rFonts w:ascii="Times New Roman" w:hAnsi="Times New Roman" w:cs="Times New Roman"/>
          <w:sz w:val="24"/>
          <w:szCs w:val="24"/>
        </w:rPr>
      </w:pPr>
      <w:r w:rsidRPr="003918DE">
        <w:rPr>
          <w:rFonts w:ascii="Times New Roman" w:hAnsi="Times New Roman" w:cs="Times New Roman"/>
          <w:sz w:val="24"/>
          <w:szCs w:val="24"/>
        </w:rPr>
        <w:t xml:space="preserve">Industry refers to a group of firms that provide similar goods and services. By referring to similar, it means products or service that can be substituted for one another. Industry boundaries help the management to understand the environment they are competing in and who they are competing against and come up with strategies to create competitive advantage. Also, understanding boundaries help management to continue monitoring and reviewing goals to adjust to changing the business environment (Bodolica et al., 2016). High demand for housing across the globe makes the real estate industry a very lucrative one for venture. Emaar has been doing exceptionally well. However, there are a number of factors that have affected the evolution of firms within the industry. </w:t>
      </w:r>
    </w:p>
    <w:p w:rsidR="003918DE" w:rsidRPr="003918DE" w:rsidRDefault="003918DE" w:rsidP="003918DE">
      <w:pPr>
        <w:tabs>
          <w:tab w:val="left" w:pos="3015"/>
        </w:tabs>
        <w:spacing w:after="160" w:line="480" w:lineRule="auto"/>
        <w:ind w:firstLine="562"/>
        <w:rPr>
          <w:rFonts w:ascii="Times New Roman" w:hAnsi="Times New Roman" w:cs="Times New Roman"/>
          <w:sz w:val="24"/>
          <w:szCs w:val="24"/>
        </w:rPr>
      </w:pPr>
      <w:r w:rsidRPr="003918DE">
        <w:rPr>
          <w:rFonts w:ascii="Times New Roman" w:hAnsi="Times New Roman" w:cs="Times New Roman"/>
          <w:sz w:val="24"/>
          <w:szCs w:val="24"/>
        </w:rPr>
        <w:t xml:space="preserve">For instance, the real estate industry and Emaar, in particular, has been able to evolve since its inception creating new opportunities and threats, creating specializations within the industry and growing into a global presence. In light of the cut-throat competition within this industry especially from other global players like Damac and Nakheel, the management has been able to draw boundaries by identifying the areas of the industry that correspond to company goals, the ingredients needed for success, assembling the right mix of skills to handle the opportunities and threats as well as ability to adjust to industry changes. </w:t>
      </w:r>
    </w:p>
    <w:p w:rsidR="003918DE" w:rsidRPr="003918DE" w:rsidRDefault="003918DE" w:rsidP="003918DE">
      <w:pPr>
        <w:tabs>
          <w:tab w:val="left" w:pos="3015"/>
        </w:tabs>
        <w:spacing w:after="160" w:line="480" w:lineRule="auto"/>
        <w:ind w:firstLine="562"/>
        <w:jc w:val="center"/>
        <w:rPr>
          <w:rFonts w:ascii="Times New Roman" w:hAnsi="Times New Roman" w:cs="Times New Roman"/>
          <w:b/>
          <w:sz w:val="24"/>
          <w:szCs w:val="24"/>
        </w:rPr>
      </w:pPr>
      <w:r w:rsidRPr="003918DE">
        <w:rPr>
          <w:rFonts w:ascii="Times New Roman" w:hAnsi="Times New Roman" w:cs="Times New Roman"/>
          <w:b/>
          <w:sz w:val="24"/>
          <w:szCs w:val="24"/>
        </w:rPr>
        <w:t>Identifying Key Success Factors (KSFs)</w:t>
      </w:r>
    </w:p>
    <w:p w:rsidR="003918DE" w:rsidRPr="003918DE" w:rsidRDefault="003918DE" w:rsidP="003918DE">
      <w:pPr>
        <w:tabs>
          <w:tab w:val="left" w:pos="3015"/>
        </w:tabs>
        <w:spacing w:after="160" w:line="480" w:lineRule="auto"/>
        <w:ind w:firstLine="562"/>
        <w:rPr>
          <w:rFonts w:ascii="Times New Roman" w:hAnsi="Times New Roman" w:cs="Times New Roman"/>
          <w:sz w:val="24"/>
          <w:szCs w:val="24"/>
        </w:rPr>
      </w:pPr>
      <w:r w:rsidRPr="003918DE">
        <w:rPr>
          <w:rFonts w:ascii="Times New Roman" w:hAnsi="Times New Roman" w:cs="Times New Roman"/>
          <w:sz w:val="24"/>
          <w:szCs w:val="24"/>
        </w:rPr>
        <w:t xml:space="preserve">Emaar has a mission to "transform into a one-stop global solution provider for lifestyle including homes, leisure, play, work, education, retail, health, finance industry and more". After its inception in Dubai 1997, the company has expanded to 16 other countries due to the high demand for real estate properties. Emaar early entrance in the real estate market in Dubai gave </w:t>
      </w:r>
      <w:r w:rsidRPr="003918DE">
        <w:rPr>
          <w:rFonts w:ascii="Times New Roman" w:hAnsi="Times New Roman" w:cs="Times New Roman"/>
          <w:sz w:val="24"/>
          <w:szCs w:val="24"/>
        </w:rPr>
        <w:lastRenderedPageBreak/>
        <w:t xml:space="preserve">the company an early entry advantage over other companies. Emaar was among the initial development companies that were selling freehold land to expatriates. Secondly, the company has always upheld integrity in its operations by outrightly buying property and obtaining all requisite approvals from respective governments before commencing any development. This has created lasting goodwill and loyalty from its customers.  Thirdly the company partnered with the government in Dubai where the government owns part of Emaar real estate developers.   </w:t>
      </w:r>
    </w:p>
    <w:p w:rsidR="003918DE" w:rsidRPr="003918DE" w:rsidRDefault="003918DE" w:rsidP="003918DE">
      <w:pPr>
        <w:tabs>
          <w:tab w:val="left" w:pos="3015"/>
        </w:tabs>
        <w:spacing w:after="160" w:line="480" w:lineRule="auto"/>
        <w:ind w:firstLine="562"/>
        <w:rPr>
          <w:rFonts w:ascii="Times New Roman" w:hAnsi="Times New Roman" w:cs="Times New Roman"/>
          <w:sz w:val="24"/>
          <w:szCs w:val="24"/>
        </w:rPr>
      </w:pPr>
      <w:r w:rsidRPr="003918DE">
        <w:rPr>
          <w:rFonts w:ascii="Times New Roman" w:hAnsi="Times New Roman" w:cs="Times New Roman"/>
          <w:sz w:val="24"/>
          <w:szCs w:val="24"/>
        </w:rPr>
        <w:t xml:space="preserve">International expansion has also been a KSF for Emaar, in expanding its revenues. In 2004 the company signaled its intentions to expand to global markets. To date, the company has running projects in Europe, Africa, Middle East, North America and Asia (AlEid, 2016). Despite the effects of real estate collapse in 2009, Emaar was able to survive the conditions and still managed to attain 80% occupancy of the world's tallest building, BurjKhalifa, by fall 2012. </w:t>
      </w:r>
    </w:p>
    <w:p w:rsidR="003918DE" w:rsidRPr="003918DE" w:rsidRDefault="003918DE" w:rsidP="003918DE">
      <w:pPr>
        <w:tabs>
          <w:tab w:val="left" w:pos="3015"/>
        </w:tabs>
        <w:spacing w:after="160" w:line="480" w:lineRule="auto"/>
        <w:ind w:firstLine="562"/>
        <w:rPr>
          <w:rFonts w:ascii="Times New Roman" w:hAnsi="Times New Roman" w:cs="Times New Roman"/>
          <w:sz w:val="24"/>
          <w:szCs w:val="24"/>
        </w:rPr>
      </w:pPr>
      <w:r w:rsidRPr="003918DE">
        <w:rPr>
          <w:rFonts w:ascii="Times New Roman" w:hAnsi="Times New Roman" w:cs="Times New Roman"/>
          <w:sz w:val="24"/>
          <w:szCs w:val="24"/>
        </w:rPr>
        <w:t xml:space="preserve">Emaar Properties has diversified and differentiated its development activities by engaging in the development of shopping malls, financial institutions, residential and commercial properties as well as hospitality development projects. By so doing Emaar has spread its risk across multiple sectors and also widened the company's revenue generation abilities. The company, therefore, has mitigated risks of stalled revenues due to adverse market effect on any one of its business segments. Despite all these efforts, </w:t>
      </w:r>
      <w:r>
        <w:rPr>
          <w:rFonts w:ascii="Times New Roman" w:hAnsi="Times New Roman" w:cs="Times New Roman"/>
          <w:sz w:val="24"/>
          <w:szCs w:val="24"/>
        </w:rPr>
        <w:t xml:space="preserve">the </w:t>
      </w:r>
      <w:r w:rsidRPr="003918DE">
        <w:rPr>
          <w:rFonts w:ascii="Times New Roman" w:hAnsi="Times New Roman" w:cs="Times New Roman"/>
          <w:sz w:val="24"/>
          <w:szCs w:val="24"/>
        </w:rPr>
        <w:t>real estate business has slowed down, leading to declining revenues and profits a situation that is expected to prevail in the foreseeable future.</w:t>
      </w:r>
    </w:p>
    <w:p w:rsidR="003918DE" w:rsidRPr="003918DE" w:rsidRDefault="003918DE" w:rsidP="003918DE">
      <w:pPr>
        <w:tabs>
          <w:tab w:val="left" w:pos="3015"/>
        </w:tabs>
        <w:spacing w:after="160" w:line="480" w:lineRule="auto"/>
        <w:ind w:firstLine="562"/>
        <w:jc w:val="center"/>
        <w:rPr>
          <w:rFonts w:ascii="Times New Roman" w:hAnsi="Times New Roman" w:cs="Times New Roman"/>
          <w:i/>
          <w:sz w:val="24"/>
          <w:szCs w:val="24"/>
        </w:rPr>
      </w:pPr>
      <w:r w:rsidRPr="003918DE">
        <w:rPr>
          <w:rFonts w:ascii="Times New Roman" w:hAnsi="Times New Roman" w:cs="Times New Roman"/>
          <w:i/>
          <w:sz w:val="24"/>
          <w:szCs w:val="24"/>
        </w:rPr>
        <w:t>Implications for strategy</w:t>
      </w:r>
    </w:p>
    <w:p w:rsidR="003918DE" w:rsidRPr="003918DE" w:rsidRDefault="003918DE" w:rsidP="003918DE">
      <w:pPr>
        <w:tabs>
          <w:tab w:val="left" w:pos="3015"/>
        </w:tabs>
        <w:spacing w:after="160" w:line="480" w:lineRule="auto"/>
        <w:ind w:firstLine="562"/>
        <w:rPr>
          <w:rFonts w:ascii="Times New Roman" w:hAnsi="Times New Roman" w:cs="Times New Roman"/>
          <w:sz w:val="24"/>
          <w:szCs w:val="24"/>
        </w:rPr>
      </w:pPr>
      <w:r w:rsidRPr="003918DE">
        <w:rPr>
          <w:rFonts w:ascii="Times New Roman" w:hAnsi="Times New Roman" w:cs="Times New Roman"/>
          <w:sz w:val="24"/>
          <w:szCs w:val="24"/>
        </w:rPr>
        <w:t xml:space="preserve">The Emaar strategies differ from one industry to another based on the aforementioned competitive factors.  To remain profitable established five company goals that include </w:t>
      </w:r>
      <w:r w:rsidRPr="003918DE">
        <w:rPr>
          <w:rFonts w:ascii="Times New Roman" w:hAnsi="Times New Roman" w:cs="Times New Roman"/>
          <w:sz w:val="24"/>
          <w:szCs w:val="24"/>
        </w:rPr>
        <w:lastRenderedPageBreak/>
        <w:t xml:space="preserve">dependability, quality, timing, cost and flexibility. The need to maintain and grow revenues is a critical function of Emaar management. Emaar faces the risk of being competitive and sustaining its high performance in the long run (Husnéin&amp; Chakravarty, 2016). Emaar's focus is to redirect resources in strategic management and quality assurance through innovation to keep them profitable and enhance competitive edge.  </w:t>
      </w:r>
    </w:p>
    <w:p w:rsidR="003918DE" w:rsidRDefault="003918DE" w:rsidP="003918DE">
      <w:pPr>
        <w:tabs>
          <w:tab w:val="left" w:pos="3015"/>
        </w:tabs>
        <w:spacing w:after="160" w:line="480" w:lineRule="auto"/>
        <w:ind w:firstLine="562"/>
        <w:rPr>
          <w:rFonts w:ascii="Times New Roman" w:hAnsi="Times New Roman" w:cs="Times New Roman"/>
          <w:sz w:val="24"/>
          <w:szCs w:val="24"/>
        </w:rPr>
      </w:pPr>
      <w:r w:rsidRPr="003918DE">
        <w:rPr>
          <w:rFonts w:ascii="Times New Roman" w:hAnsi="Times New Roman" w:cs="Times New Roman"/>
          <w:sz w:val="24"/>
          <w:szCs w:val="24"/>
        </w:rPr>
        <w:t xml:space="preserve">In this industry, how to handle competition from peers will be the main agenda of Emaar Properties. The bargaining power of suppliers and customers also remain critical. Getting high-quality supplies at the lowest price possible symbolizes success in the industry.  According to Simani, (2017), maintaining a keen eye on customer demands would enable identification of other more economical priced development solutions.  The speed and timing of the construction of the properties have a significant impact on the uptake rate by customers. Emaar has been ensured customer satisfaction by matching the speed, timing and quality. They have not only managed to complete construction within time but also within budget. Managing operating costs consistency has ensured Emaar deliver projects within budget. Lastly, Emaar has established value for shareholders through customer loyalty. The longer Emaar management is able to maintain this competitive advantage, Nekheel and Damac will keep playing catch up. </w:t>
      </w:r>
    </w:p>
    <w:p w:rsidR="003918DE" w:rsidRDefault="003918DE" w:rsidP="003918DE">
      <w:pPr>
        <w:tabs>
          <w:tab w:val="left" w:pos="3015"/>
        </w:tabs>
        <w:spacing w:after="160" w:line="480" w:lineRule="auto"/>
        <w:ind w:left="567" w:hanging="567"/>
        <w:jc w:val="center"/>
        <w:rPr>
          <w:rFonts w:ascii="Times New Roman" w:hAnsi="Times New Roman" w:cs="Times New Roman"/>
          <w:sz w:val="24"/>
          <w:szCs w:val="24"/>
        </w:rPr>
      </w:pPr>
    </w:p>
    <w:p w:rsidR="003918DE" w:rsidRDefault="003918DE" w:rsidP="003918DE">
      <w:pPr>
        <w:tabs>
          <w:tab w:val="left" w:pos="3015"/>
        </w:tabs>
        <w:spacing w:after="160" w:line="480" w:lineRule="auto"/>
        <w:ind w:left="567" w:hanging="567"/>
        <w:jc w:val="center"/>
        <w:rPr>
          <w:rFonts w:ascii="Times New Roman" w:hAnsi="Times New Roman" w:cs="Times New Roman"/>
          <w:sz w:val="24"/>
          <w:szCs w:val="24"/>
        </w:rPr>
      </w:pPr>
    </w:p>
    <w:p w:rsidR="003918DE" w:rsidRDefault="003918DE" w:rsidP="003918DE">
      <w:pPr>
        <w:tabs>
          <w:tab w:val="left" w:pos="3015"/>
        </w:tabs>
        <w:spacing w:after="160" w:line="480" w:lineRule="auto"/>
        <w:ind w:left="567" w:hanging="567"/>
        <w:jc w:val="center"/>
        <w:rPr>
          <w:rFonts w:ascii="Times New Roman" w:hAnsi="Times New Roman" w:cs="Times New Roman"/>
          <w:sz w:val="24"/>
          <w:szCs w:val="24"/>
        </w:rPr>
      </w:pPr>
    </w:p>
    <w:p w:rsidR="003918DE" w:rsidRDefault="003918DE" w:rsidP="003918DE">
      <w:pPr>
        <w:tabs>
          <w:tab w:val="left" w:pos="3015"/>
        </w:tabs>
        <w:spacing w:after="160" w:line="480" w:lineRule="auto"/>
        <w:ind w:left="567" w:hanging="567"/>
        <w:jc w:val="center"/>
        <w:rPr>
          <w:rFonts w:ascii="Times New Roman" w:hAnsi="Times New Roman" w:cs="Times New Roman"/>
          <w:sz w:val="24"/>
          <w:szCs w:val="24"/>
        </w:rPr>
      </w:pPr>
    </w:p>
    <w:p w:rsidR="003918DE" w:rsidRDefault="003918DE" w:rsidP="003918DE">
      <w:pPr>
        <w:tabs>
          <w:tab w:val="left" w:pos="3015"/>
        </w:tabs>
        <w:spacing w:after="160" w:line="480" w:lineRule="auto"/>
        <w:ind w:left="567" w:hanging="567"/>
        <w:jc w:val="center"/>
        <w:rPr>
          <w:rFonts w:ascii="Times New Roman" w:hAnsi="Times New Roman" w:cs="Times New Roman"/>
          <w:sz w:val="24"/>
          <w:szCs w:val="24"/>
        </w:rPr>
      </w:pPr>
    </w:p>
    <w:p w:rsidR="00230090" w:rsidRDefault="00230090" w:rsidP="003918DE">
      <w:pPr>
        <w:tabs>
          <w:tab w:val="left" w:pos="3015"/>
        </w:tabs>
        <w:spacing w:after="160" w:line="480" w:lineRule="auto"/>
        <w:ind w:left="567" w:hanging="567"/>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6D22" w:rsidRPr="00491F82" w:rsidRDefault="00136D22" w:rsidP="002A3355">
      <w:pPr>
        <w:tabs>
          <w:tab w:val="left" w:pos="3015"/>
        </w:tabs>
        <w:spacing w:after="160" w:line="480" w:lineRule="auto"/>
        <w:ind w:left="567" w:hanging="567"/>
        <w:rPr>
          <w:rFonts w:ascii="Times New Roman" w:hAnsi="Times New Roman" w:cs="Times New Roman"/>
          <w:sz w:val="24"/>
          <w:szCs w:val="24"/>
        </w:rPr>
      </w:pPr>
      <w:r w:rsidRPr="00491F82">
        <w:rPr>
          <w:rFonts w:ascii="Times New Roman" w:hAnsi="Times New Roman" w:cs="Times New Roman"/>
          <w:sz w:val="24"/>
          <w:szCs w:val="24"/>
        </w:rPr>
        <w:t xml:space="preserve">AlEid, A. B. M. (2016). </w:t>
      </w:r>
      <w:r w:rsidRPr="002A3355">
        <w:rPr>
          <w:rFonts w:ascii="Times New Roman" w:hAnsi="Times New Roman" w:cs="Times New Roman"/>
          <w:sz w:val="24"/>
          <w:szCs w:val="24"/>
        </w:rPr>
        <w:t>A Financial Statement Analysis on Three Major Construction Companies in the UAE (Arabtec Holding PJSC, Drake &amp; Scull PJSC and Emaar Properties PJSC)</w:t>
      </w:r>
      <w:r w:rsidRPr="00491F82">
        <w:rPr>
          <w:rFonts w:ascii="Times New Roman" w:hAnsi="Times New Roman" w:cs="Times New Roman"/>
          <w:sz w:val="24"/>
          <w:szCs w:val="24"/>
        </w:rPr>
        <w:t xml:space="preserve"> (Doctoral dissertation, The British University in Dubai (BUiD)).</w:t>
      </w:r>
    </w:p>
    <w:p w:rsidR="00136D22" w:rsidRPr="00491F82" w:rsidRDefault="00136D22" w:rsidP="002A3355">
      <w:pPr>
        <w:tabs>
          <w:tab w:val="left" w:pos="3015"/>
        </w:tabs>
        <w:spacing w:after="160" w:line="480" w:lineRule="auto"/>
        <w:ind w:left="567" w:hanging="567"/>
        <w:rPr>
          <w:rFonts w:ascii="Times New Roman" w:hAnsi="Times New Roman" w:cs="Times New Roman"/>
          <w:sz w:val="24"/>
          <w:szCs w:val="24"/>
        </w:rPr>
      </w:pPr>
      <w:r w:rsidRPr="00491F82">
        <w:rPr>
          <w:rFonts w:ascii="Times New Roman" w:hAnsi="Times New Roman" w:cs="Times New Roman"/>
          <w:sz w:val="24"/>
          <w:szCs w:val="24"/>
        </w:rPr>
        <w:t xml:space="preserve">Bodolica, V., Spraggon, M., &amp;Shahid, A. (2018). Strategic adaptation to environmental jolts: an analysis of corporate resilience in the property development sector in Dubai. </w:t>
      </w:r>
      <w:r w:rsidRPr="002A3355">
        <w:rPr>
          <w:rFonts w:ascii="Times New Roman" w:hAnsi="Times New Roman" w:cs="Times New Roman"/>
          <w:sz w:val="24"/>
          <w:szCs w:val="24"/>
        </w:rPr>
        <w:t>Middle East Journal of Management</w:t>
      </w:r>
      <w:r w:rsidRPr="00491F82">
        <w:rPr>
          <w:rFonts w:ascii="Times New Roman" w:hAnsi="Times New Roman" w:cs="Times New Roman"/>
          <w:sz w:val="24"/>
          <w:szCs w:val="24"/>
        </w:rPr>
        <w:t xml:space="preserve">, </w:t>
      </w:r>
      <w:r w:rsidRPr="002A3355">
        <w:rPr>
          <w:rFonts w:ascii="Times New Roman" w:hAnsi="Times New Roman" w:cs="Times New Roman"/>
          <w:sz w:val="24"/>
          <w:szCs w:val="24"/>
        </w:rPr>
        <w:t>5</w:t>
      </w:r>
      <w:r w:rsidRPr="00491F82">
        <w:rPr>
          <w:rFonts w:ascii="Times New Roman" w:hAnsi="Times New Roman" w:cs="Times New Roman"/>
          <w:sz w:val="24"/>
          <w:szCs w:val="24"/>
        </w:rPr>
        <w:t>(1), 1-20.</w:t>
      </w:r>
    </w:p>
    <w:p w:rsidR="00136D22" w:rsidRPr="00491F82" w:rsidRDefault="00136D22" w:rsidP="002A3355">
      <w:pPr>
        <w:tabs>
          <w:tab w:val="left" w:pos="3015"/>
        </w:tabs>
        <w:spacing w:after="160" w:line="480" w:lineRule="auto"/>
        <w:ind w:left="567" w:hanging="567"/>
        <w:rPr>
          <w:rFonts w:ascii="Times New Roman" w:hAnsi="Times New Roman" w:cs="Times New Roman"/>
          <w:sz w:val="24"/>
          <w:szCs w:val="24"/>
        </w:rPr>
      </w:pPr>
      <w:r w:rsidRPr="00491F82">
        <w:rPr>
          <w:rFonts w:ascii="Times New Roman" w:hAnsi="Times New Roman" w:cs="Times New Roman"/>
          <w:sz w:val="24"/>
          <w:szCs w:val="24"/>
        </w:rPr>
        <w:t>Husnéin, A., &amp; Chakravarty, S. (2016). Planning the Recovery: Dubai’s Search for a New Model.</w:t>
      </w:r>
      <w:r w:rsidRPr="002A3355">
        <w:rPr>
          <w:rFonts w:ascii="Times New Roman" w:hAnsi="Times New Roman" w:cs="Times New Roman"/>
          <w:sz w:val="24"/>
          <w:szCs w:val="24"/>
        </w:rPr>
        <w:t>Transforming Distressed Global Communities: Making Inclusive, Safe, Resilient, and Sustainable Cities</w:t>
      </w:r>
      <w:r w:rsidRPr="00491F82">
        <w:rPr>
          <w:rFonts w:ascii="Times New Roman" w:hAnsi="Times New Roman" w:cs="Times New Roman"/>
          <w:sz w:val="24"/>
          <w:szCs w:val="24"/>
        </w:rPr>
        <w:t>, 265.</w:t>
      </w:r>
    </w:p>
    <w:p w:rsidR="00334ADF" w:rsidRPr="002A3355" w:rsidRDefault="00334ADF" w:rsidP="002A3355">
      <w:pPr>
        <w:tabs>
          <w:tab w:val="left" w:pos="3015"/>
        </w:tabs>
        <w:spacing w:after="160" w:line="480" w:lineRule="auto"/>
        <w:ind w:left="567" w:hanging="567"/>
        <w:rPr>
          <w:rFonts w:ascii="Times New Roman" w:hAnsi="Times New Roman" w:cs="Times New Roman"/>
          <w:sz w:val="24"/>
          <w:szCs w:val="24"/>
        </w:rPr>
      </w:pPr>
      <w:r w:rsidRPr="002A3355">
        <w:rPr>
          <w:rFonts w:ascii="Times New Roman" w:hAnsi="Times New Roman" w:cs="Times New Roman"/>
          <w:sz w:val="24"/>
          <w:szCs w:val="24"/>
        </w:rPr>
        <w:t xml:space="preserve">Raharja, S. J., &amp;Arifianti, R. (2018).Competitive strategy in “XYZ” four-star hotel company in Tangerang City, Indonesia. Review of Integrative Business and Economics Research, Supplementary Issue, 1, 7, 117–126. </w:t>
      </w:r>
    </w:p>
    <w:p w:rsidR="00136D22" w:rsidRPr="00491F82" w:rsidRDefault="00136D22" w:rsidP="002A3355">
      <w:pPr>
        <w:tabs>
          <w:tab w:val="left" w:pos="3015"/>
        </w:tabs>
        <w:spacing w:after="160" w:line="480" w:lineRule="auto"/>
        <w:ind w:left="567" w:hanging="567"/>
        <w:rPr>
          <w:rFonts w:ascii="Times New Roman" w:hAnsi="Times New Roman" w:cs="Times New Roman"/>
          <w:sz w:val="24"/>
          <w:szCs w:val="24"/>
        </w:rPr>
      </w:pPr>
      <w:r w:rsidRPr="00491F82">
        <w:rPr>
          <w:rFonts w:ascii="Times New Roman" w:hAnsi="Times New Roman" w:cs="Times New Roman"/>
          <w:sz w:val="24"/>
          <w:szCs w:val="24"/>
        </w:rPr>
        <w:t xml:space="preserve">Safari, N., Farhang, M., &amp;Rajabzadehyazdi, E. (2016). The study on the competitive status of construction companies based on Michael Porter's five competitive forces (Case study: Armeno Project Development and Management Company). </w:t>
      </w:r>
      <w:r w:rsidRPr="002A3355">
        <w:rPr>
          <w:rFonts w:ascii="Times New Roman" w:hAnsi="Times New Roman" w:cs="Times New Roman"/>
          <w:sz w:val="24"/>
          <w:szCs w:val="24"/>
        </w:rPr>
        <w:t>European Online Journal of Natural and Social Sciences: Proceedings</w:t>
      </w:r>
      <w:r w:rsidRPr="00491F82">
        <w:rPr>
          <w:rFonts w:ascii="Times New Roman" w:hAnsi="Times New Roman" w:cs="Times New Roman"/>
          <w:sz w:val="24"/>
          <w:szCs w:val="24"/>
        </w:rPr>
        <w:t xml:space="preserve">, </w:t>
      </w:r>
      <w:r w:rsidRPr="002A3355">
        <w:rPr>
          <w:rFonts w:ascii="Times New Roman" w:hAnsi="Times New Roman" w:cs="Times New Roman"/>
          <w:sz w:val="24"/>
          <w:szCs w:val="24"/>
        </w:rPr>
        <w:t>5</w:t>
      </w:r>
      <w:r w:rsidRPr="00491F82">
        <w:rPr>
          <w:rFonts w:ascii="Times New Roman" w:hAnsi="Times New Roman" w:cs="Times New Roman"/>
          <w:sz w:val="24"/>
          <w:szCs w:val="24"/>
        </w:rPr>
        <w:t>(3 (s)), pp-72.</w:t>
      </w:r>
    </w:p>
    <w:p w:rsidR="00334ADF" w:rsidRPr="002A3355" w:rsidRDefault="00334ADF" w:rsidP="002A3355">
      <w:pPr>
        <w:tabs>
          <w:tab w:val="left" w:pos="3015"/>
        </w:tabs>
        <w:spacing w:after="160" w:line="480" w:lineRule="auto"/>
        <w:ind w:left="567" w:hanging="567"/>
        <w:rPr>
          <w:rFonts w:ascii="Times New Roman" w:hAnsi="Times New Roman" w:cs="Times New Roman"/>
          <w:sz w:val="24"/>
          <w:szCs w:val="24"/>
        </w:rPr>
      </w:pPr>
      <w:r w:rsidRPr="002A3355">
        <w:rPr>
          <w:rFonts w:ascii="Times New Roman" w:hAnsi="Times New Roman" w:cs="Times New Roman"/>
          <w:sz w:val="24"/>
          <w:szCs w:val="24"/>
        </w:rPr>
        <w:t>Simani, W. L. (2017).TQM perspectives under the competitive strategies and the organization performance in Kenyan manufacturing sector. Academy of Strategic Management Journal, 16(2), 1–20.</w:t>
      </w:r>
    </w:p>
    <w:p w:rsidR="005C094A" w:rsidRPr="00491F82" w:rsidRDefault="005C094A" w:rsidP="003918DE">
      <w:pPr>
        <w:spacing w:line="480" w:lineRule="auto"/>
        <w:ind w:firstLine="2160"/>
        <w:rPr>
          <w:rFonts w:ascii="Times New Roman" w:hAnsi="Times New Roman" w:cs="Times New Roman"/>
          <w:sz w:val="24"/>
          <w:szCs w:val="24"/>
        </w:rPr>
      </w:pPr>
    </w:p>
    <w:sectPr w:rsidR="005C094A" w:rsidRPr="00491F82" w:rsidSect="00491F8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6124" w:rsidRDefault="00E56124" w:rsidP="00491F82">
      <w:pPr>
        <w:spacing w:after="0" w:line="240" w:lineRule="auto"/>
      </w:pPr>
      <w:r>
        <w:separator/>
      </w:r>
    </w:p>
  </w:endnote>
  <w:endnote w:type="continuationSeparator" w:id="1">
    <w:p w:rsidR="00E56124" w:rsidRDefault="00E56124" w:rsidP="00491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6124" w:rsidRDefault="00E56124" w:rsidP="00491F82">
      <w:pPr>
        <w:spacing w:after="0" w:line="240" w:lineRule="auto"/>
      </w:pPr>
      <w:r>
        <w:separator/>
      </w:r>
    </w:p>
  </w:footnote>
  <w:footnote w:type="continuationSeparator" w:id="1">
    <w:p w:rsidR="00E56124" w:rsidRDefault="00E56124" w:rsidP="00491F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82" w:rsidRPr="0009573F" w:rsidRDefault="00491F82" w:rsidP="00491F82">
    <w:pPr>
      <w:pStyle w:val="Header"/>
      <w:rPr>
        <w:rFonts w:ascii="Times New Roman" w:hAnsi="Times New Roman" w:cs="Times New Roman"/>
        <w:sz w:val="24"/>
        <w:szCs w:val="24"/>
      </w:rPr>
    </w:pPr>
    <w:r w:rsidRPr="0009573F">
      <w:rPr>
        <w:rFonts w:ascii="Times New Roman" w:hAnsi="Times New Roman" w:cs="Times New Roman"/>
        <w:sz w:val="24"/>
        <w:szCs w:val="24"/>
      </w:rPr>
      <w:t>INDUSTRY ANALYSIS</w:t>
    </w:r>
    <w:sdt>
      <w:sdtPr>
        <w:rPr>
          <w:rFonts w:ascii="Times New Roman" w:hAnsi="Times New Roman" w:cs="Times New Roman"/>
          <w:sz w:val="24"/>
          <w:szCs w:val="24"/>
        </w:rPr>
        <w:id w:val="531692482"/>
        <w:docPartObj>
          <w:docPartGallery w:val="Page Numbers (Top of Page)"/>
          <w:docPartUnique/>
        </w:docPartObj>
      </w:sdtPr>
      <w:sdtEndPr>
        <w:rPr>
          <w:noProof/>
        </w:rPr>
      </w:sdtEndPr>
      <w:sdtContent>
        <w:r w:rsidRPr="0009573F">
          <w:rPr>
            <w:rFonts w:ascii="Times New Roman" w:hAnsi="Times New Roman" w:cs="Times New Roman"/>
            <w:sz w:val="24"/>
            <w:szCs w:val="24"/>
          </w:rPr>
          <w:t>; EMAAR PROPERTIES</w:t>
        </w:r>
        <w:r w:rsidRPr="0009573F">
          <w:rPr>
            <w:rFonts w:ascii="Times New Roman" w:hAnsi="Times New Roman" w:cs="Times New Roman"/>
            <w:sz w:val="24"/>
            <w:szCs w:val="24"/>
          </w:rPr>
          <w:tab/>
        </w:r>
        <w:r w:rsidRPr="0009573F">
          <w:rPr>
            <w:rFonts w:ascii="Times New Roman" w:hAnsi="Times New Roman" w:cs="Times New Roman"/>
            <w:sz w:val="24"/>
            <w:szCs w:val="24"/>
          </w:rPr>
          <w:tab/>
        </w:r>
        <w:r w:rsidR="00157837" w:rsidRPr="0009573F">
          <w:rPr>
            <w:rFonts w:ascii="Times New Roman" w:hAnsi="Times New Roman" w:cs="Times New Roman"/>
            <w:sz w:val="24"/>
            <w:szCs w:val="24"/>
          </w:rPr>
          <w:fldChar w:fldCharType="begin"/>
        </w:r>
        <w:r w:rsidRPr="0009573F">
          <w:rPr>
            <w:rFonts w:ascii="Times New Roman" w:hAnsi="Times New Roman" w:cs="Times New Roman"/>
            <w:sz w:val="24"/>
            <w:szCs w:val="24"/>
          </w:rPr>
          <w:instrText xml:space="preserve"> PAGE   \* MERGEFORMAT </w:instrText>
        </w:r>
        <w:r w:rsidR="00157837" w:rsidRPr="0009573F">
          <w:rPr>
            <w:rFonts w:ascii="Times New Roman" w:hAnsi="Times New Roman" w:cs="Times New Roman"/>
            <w:sz w:val="24"/>
            <w:szCs w:val="24"/>
          </w:rPr>
          <w:fldChar w:fldCharType="separate"/>
        </w:r>
        <w:r w:rsidR="003918DE">
          <w:rPr>
            <w:rFonts w:ascii="Times New Roman" w:hAnsi="Times New Roman" w:cs="Times New Roman"/>
            <w:noProof/>
            <w:sz w:val="24"/>
            <w:szCs w:val="24"/>
          </w:rPr>
          <w:t>2</w:t>
        </w:r>
        <w:r w:rsidR="00157837" w:rsidRPr="0009573F">
          <w:rPr>
            <w:rFonts w:ascii="Times New Roman" w:hAnsi="Times New Roman" w:cs="Times New Roman"/>
            <w:noProof/>
            <w:sz w:val="24"/>
            <w:szCs w:val="24"/>
          </w:rPr>
          <w:fldChar w:fldCharType="end"/>
        </w:r>
      </w:sdtContent>
    </w:sdt>
  </w:p>
  <w:p w:rsidR="00491F82" w:rsidRPr="0009573F" w:rsidRDefault="00491F8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82" w:rsidRPr="0009573F" w:rsidRDefault="00491F82" w:rsidP="00491F82">
    <w:pPr>
      <w:pStyle w:val="Header"/>
      <w:rPr>
        <w:rFonts w:ascii="Times New Roman" w:hAnsi="Times New Roman" w:cs="Times New Roman"/>
        <w:sz w:val="24"/>
        <w:szCs w:val="24"/>
      </w:rPr>
    </w:pPr>
    <w:r w:rsidRPr="0009573F">
      <w:rPr>
        <w:rFonts w:ascii="Times New Roman" w:hAnsi="Times New Roman" w:cs="Times New Roman"/>
        <w:sz w:val="24"/>
        <w:szCs w:val="24"/>
      </w:rPr>
      <w:t>Running Head: INDUSTRY ANALYSIS</w:t>
    </w:r>
    <w:sdt>
      <w:sdtPr>
        <w:rPr>
          <w:rFonts w:ascii="Times New Roman" w:hAnsi="Times New Roman" w:cs="Times New Roman"/>
          <w:sz w:val="24"/>
          <w:szCs w:val="24"/>
        </w:rPr>
        <w:id w:val="-1935662106"/>
        <w:docPartObj>
          <w:docPartGallery w:val="Page Numbers (Top of Page)"/>
          <w:docPartUnique/>
        </w:docPartObj>
      </w:sdtPr>
      <w:sdtEndPr>
        <w:rPr>
          <w:noProof/>
        </w:rPr>
      </w:sdtEndPr>
      <w:sdtContent>
        <w:r w:rsidRPr="0009573F">
          <w:rPr>
            <w:rFonts w:ascii="Times New Roman" w:hAnsi="Times New Roman" w:cs="Times New Roman"/>
            <w:sz w:val="24"/>
            <w:szCs w:val="24"/>
          </w:rPr>
          <w:t>; EMAAR PROPERTIES</w:t>
        </w:r>
        <w:r w:rsidRPr="0009573F">
          <w:rPr>
            <w:rFonts w:ascii="Times New Roman" w:hAnsi="Times New Roman" w:cs="Times New Roman"/>
            <w:sz w:val="24"/>
            <w:szCs w:val="24"/>
          </w:rPr>
          <w:tab/>
        </w:r>
        <w:r w:rsidR="00157837" w:rsidRPr="0009573F">
          <w:rPr>
            <w:rFonts w:ascii="Times New Roman" w:hAnsi="Times New Roman" w:cs="Times New Roman"/>
            <w:sz w:val="24"/>
            <w:szCs w:val="24"/>
          </w:rPr>
          <w:fldChar w:fldCharType="begin"/>
        </w:r>
        <w:r w:rsidRPr="0009573F">
          <w:rPr>
            <w:rFonts w:ascii="Times New Roman" w:hAnsi="Times New Roman" w:cs="Times New Roman"/>
            <w:sz w:val="24"/>
            <w:szCs w:val="24"/>
          </w:rPr>
          <w:instrText xml:space="preserve"> PAGE   \* MERGEFORMAT </w:instrText>
        </w:r>
        <w:r w:rsidR="00157837" w:rsidRPr="0009573F">
          <w:rPr>
            <w:rFonts w:ascii="Times New Roman" w:hAnsi="Times New Roman" w:cs="Times New Roman"/>
            <w:sz w:val="24"/>
            <w:szCs w:val="24"/>
          </w:rPr>
          <w:fldChar w:fldCharType="separate"/>
        </w:r>
        <w:r w:rsidR="003918DE">
          <w:rPr>
            <w:rFonts w:ascii="Times New Roman" w:hAnsi="Times New Roman" w:cs="Times New Roman"/>
            <w:noProof/>
            <w:sz w:val="24"/>
            <w:szCs w:val="24"/>
          </w:rPr>
          <w:t>1</w:t>
        </w:r>
        <w:r w:rsidR="00157837" w:rsidRPr="0009573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2638E"/>
    <w:multiLevelType w:val="hybridMultilevel"/>
    <w:tmpl w:val="3BD49BD6"/>
    <w:lvl w:ilvl="0" w:tplc="11C2973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48A2D3E"/>
    <w:multiLevelType w:val="hybridMultilevel"/>
    <w:tmpl w:val="3C6EAE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144E9"/>
    <w:rsid w:val="00011D1D"/>
    <w:rsid w:val="00020711"/>
    <w:rsid w:val="00067ACA"/>
    <w:rsid w:val="00086ABE"/>
    <w:rsid w:val="0009573F"/>
    <w:rsid w:val="000E0BE6"/>
    <w:rsid w:val="00136D22"/>
    <w:rsid w:val="001477DD"/>
    <w:rsid w:val="00157837"/>
    <w:rsid w:val="0019674F"/>
    <w:rsid w:val="001C15B8"/>
    <w:rsid w:val="001C6CB3"/>
    <w:rsid w:val="001D4243"/>
    <w:rsid w:val="00200454"/>
    <w:rsid w:val="00200ED2"/>
    <w:rsid w:val="00230090"/>
    <w:rsid w:val="00262273"/>
    <w:rsid w:val="002A3355"/>
    <w:rsid w:val="002D5D66"/>
    <w:rsid w:val="00334ADF"/>
    <w:rsid w:val="00344BED"/>
    <w:rsid w:val="00367A5C"/>
    <w:rsid w:val="003918DE"/>
    <w:rsid w:val="003A33BE"/>
    <w:rsid w:val="003E6CCA"/>
    <w:rsid w:val="00454AAC"/>
    <w:rsid w:val="0046149E"/>
    <w:rsid w:val="00483BCA"/>
    <w:rsid w:val="004868AE"/>
    <w:rsid w:val="00491F82"/>
    <w:rsid w:val="00494E94"/>
    <w:rsid w:val="004A72F9"/>
    <w:rsid w:val="0050650D"/>
    <w:rsid w:val="005144E9"/>
    <w:rsid w:val="00515A87"/>
    <w:rsid w:val="005349F3"/>
    <w:rsid w:val="005A121E"/>
    <w:rsid w:val="005A34BF"/>
    <w:rsid w:val="005C094A"/>
    <w:rsid w:val="005C269F"/>
    <w:rsid w:val="005D1671"/>
    <w:rsid w:val="00691F13"/>
    <w:rsid w:val="006C3704"/>
    <w:rsid w:val="006E4CED"/>
    <w:rsid w:val="0075709F"/>
    <w:rsid w:val="00765EBA"/>
    <w:rsid w:val="007A547A"/>
    <w:rsid w:val="0083214B"/>
    <w:rsid w:val="008326E1"/>
    <w:rsid w:val="00842193"/>
    <w:rsid w:val="00851299"/>
    <w:rsid w:val="0088206F"/>
    <w:rsid w:val="009607AD"/>
    <w:rsid w:val="00997DBF"/>
    <w:rsid w:val="00A1041B"/>
    <w:rsid w:val="00A442B0"/>
    <w:rsid w:val="00B01BEA"/>
    <w:rsid w:val="00B23307"/>
    <w:rsid w:val="00B26FE3"/>
    <w:rsid w:val="00B4343C"/>
    <w:rsid w:val="00B5183C"/>
    <w:rsid w:val="00B6199D"/>
    <w:rsid w:val="00B65A4A"/>
    <w:rsid w:val="00B85616"/>
    <w:rsid w:val="00BA47A9"/>
    <w:rsid w:val="00BB1D26"/>
    <w:rsid w:val="00C23C41"/>
    <w:rsid w:val="00C604D2"/>
    <w:rsid w:val="00CA11F4"/>
    <w:rsid w:val="00CA3C04"/>
    <w:rsid w:val="00CC199B"/>
    <w:rsid w:val="00CC533D"/>
    <w:rsid w:val="00D15112"/>
    <w:rsid w:val="00D8588A"/>
    <w:rsid w:val="00DB1570"/>
    <w:rsid w:val="00E20D98"/>
    <w:rsid w:val="00E27B86"/>
    <w:rsid w:val="00E56124"/>
    <w:rsid w:val="00E70CA4"/>
    <w:rsid w:val="00E96E7A"/>
    <w:rsid w:val="00EB4C0C"/>
    <w:rsid w:val="00EE78F1"/>
    <w:rsid w:val="00F24002"/>
    <w:rsid w:val="00F525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3"/>
        <o:r id="V:Rule2" type="connector" idref="#Straight Arrow Connector 4"/>
        <o:r id="V:Rule3" type="connector" idref="#Straight Arrow Connector 5"/>
        <o:r id="V:Rule4" type="connector" idref="#Straight Arrow Connector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8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711"/>
    <w:pPr>
      <w:ind w:left="720"/>
      <w:contextualSpacing/>
    </w:pPr>
  </w:style>
  <w:style w:type="paragraph" w:styleId="BalloonText">
    <w:name w:val="Balloon Text"/>
    <w:basedOn w:val="Normal"/>
    <w:link w:val="BalloonTextChar"/>
    <w:uiPriority w:val="99"/>
    <w:semiHidden/>
    <w:unhideWhenUsed/>
    <w:rsid w:val="00EB4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C0C"/>
    <w:rPr>
      <w:rFonts w:ascii="Tahoma" w:hAnsi="Tahoma" w:cs="Tahoma"/>
      <w:sz w:val="16"/>
      <w:szCs w:val="16"/>
    </w:rPr>
  </w:style>
  <w:style w:type="paragraph" w:styleId="Header">
    <w:name w:val="header"/>
    <w:basedOn w:val="Normal"/>
    <w:link w:val="HeaderChar"/>
    <w:uiPriority w:val="99"/>
    <w:unhideWhenUsed/>
    <w:rsid w:val="00491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F82"/>
  </w:style>
  <w:style w:type="paragraph" w:styleId="Footer">
    <w:name w:val="footer"/>
    <w:basedOn w:val="Normal"/>
    <w:link w:val="FooterChar"/>
    <w:uiPriority w:val="99"/>
    <w:unhideWhenUsed/>
    <w:rsid w:val="00491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F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711"/>
    <w:pPr>
      <w:ind w:left="720"/>
      <w:contextualSpacing/>
    </w:pPr>
  </w:style>
  <w:style w:type="paragraph" w:styleId="BalloonText">
    <w:name w:val="Balloon Text"/>
    <w:basedOn w:val="Normal"/>
    <w:link w:val="BalloonTextChar"/>
    <w:uiPriority w:val="99"/>
    <w:semiHidden/>
    <w:unhideWhenUsed/>
    <w:rsid w:val="00EB4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C0C"/>
    <w:rPr>
      <w:rFonts w:ascii="Tahoma" w:hAnsi="Tahoma" w:cs="Tahoma"/>
      <w:sz w:val="16"/>
      <w:szCs w:val="16"/>
    </w:rPr>
  </w:style>
  <w:style w:type="paragraph" w:styleId="Header">
    <w:name w:val="header"/>
    <w:basedOn w:val="Normal"/>
    <w:link w:val="HeaderChar"/>
    <w:uiPriority w:val="99"/>
    <w:unhideWhenUsed/>
    <w:rsid w:val="00491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F82"/>
  </w:style>
  <w:style w:type="paragraph" w:styleId="Footer">
    <w:name w:val="footer"/>
    <w:basedOn w:val="Normal"/>
    <w:link w:val="FooterChar"/>
    <w:uiPriority w:val="99"/>
    <w:unhideWhenUsed/>
    <w:rsid w:val="00491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F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249489-540A-4EB6-B475-29256FEA05C3}" type="doc">
      <dgm:prSet loTypeId="urn:microsoft.com/office/officeart/2005/8/layout/radial6" loCatId="cycle" qsTypeId="urn:microsoft.com/office/officeart/2005/8/quickstyle/simple3" qsCatId="simple" csTypeId="urn:microsoft.com/office/officeart/2005/8/colors/accent1_2" csCatId="accent1" phldr="1"/>
      <dgm:spPr/>
      <dgm:t>
        <a:bodyPr/>
        <a:lstStyle/>
        <a:p>
          <a:endParaRPr lang="en-US"/>
        </a:p>
      </dgm:t>
    </dgm:pt>
    <dgm:pt modelId="{2A55B5E5-7005-4027-8723-E85E79C64E6B}">
      <dgm:prSet phldrT="[Text]" custT="1"/>
      <dgm:spPr/>
      <dgm:t>
        <a:bodyPr/>
        <a:lstStyle/>
        <a:p>
          <a:r>
            <a:rPr lang="en-US" sz="700"/>
            <a:t>I</a:t>
          </a:r>
        </a:p>
        <a:p>
          <a:endParaRPr lang="en-US" sz="700"/>
        </a:p>
        <a:p>
          <a:endParaRPr lang="en-US" sz="700"/>
        </a:p>
        <a:p>
          <a:endParaRPr lang="en-US" sz="700"/>
        </a:p>
        <a:p>
          <a:r>
            <a:rPr lang="en-US" sz="1000"/>
            <a:t>Industry competitors</a:t>
          </a:r>
        </a:p>
        <a:p>
          <a:r>
            <a:rPr lang="en-US" sz="1000"/>
            <a:t>Intensity of rivalry (low concentration, high level of competitors, high product differentiation, high excess capacity and exit barriers, high cost conditions. </a:t>
          </a:r>
        </a:p>
      </dgm:t>
    </dgm:pt>
    <dgm:pt modelId="{B0AF611D-84B1-4F94-B361-243D094351E9}" type="parTrans" cxnId="{5C2E3C29-B475-4432-B014-47291AD8E955}">
      <dgm:prSet/>
      <dgm:spPr/>
      <dgm:t>
        <a:bodyPr/>
        <a:lstStyle/>
        <a:p>
          <a:endParaRPr lang="en-US"/>
        </a:p>
      </dgm:t>
    </dgm:pt>
    <dgm:pt modelId="{F2F83965-6584-4936-8A7C-C5E5E6A548F5}" type="sibTrans" cxnId="{5C2E3C29-B475-4432-B014-47291AD8E955}">
      <dgm:prSet/>
      <dgm:spPr/>
      <dgm:t>
        <a:bodyPr/>
        <a:lstStyle/>
        <a:p>
          <a:endParaRPr lang="en-US"/>
        </a:p>
      </dgm:t>
    </dgm:pt>
    <dgm:pt modelId="{3F898D7F-AAFF-41B3-BBEE-644A1DA29FB8}">
      <dgm:prSet phldrT="[Text]" custT="1"/>
      <dgm:spPr/>
      <dgm:t>
        <a:bodyPr/>
        <a:lstStyle/>
        <a:p>
          <a:r>
            <a:rPr lang="en-US" sz="900"/>
            <a:t>New entrants</a:t>
          </a:r>
        </a:p>
        <a:p>
          <a:r>
            <a:rPr lang="en-US" sz="900"/>
            <a:t>(high economics of scale, high capital outlay, high regulation, high product deferentiaotion</a:t>
          </a:r>
        </a:p>
        <a:p>
          <a:endParaRPr lang="en-US" sz="900"/>
        </a:p>
      </dgm:t>
    </dgm:pt>
    <dgm:pt modelId="{1F90E984-DEDB-4311-BB37-F511E58A3BB4}" type="parTrans" cxnId="{3B008740-AC73-49C6-913D-B2F6E29937F2}">
      <dgm:prSet/>
      <dgm:spPr/>
      <dgm:t>
        <a:bodyPr/>
        <a:lstStyle/>
        <a:p>
          <a:endParaRPr lang="en-US"/>
        </a:p>
      </dgm:t>
    </dgm:pt>
    <dgm:pt modelId="{D50B1E4A-37FE-42AC-9E5B-91C5D1CBABF6}" type="sibTrans" cxnId="{3B008740-AC73-49C6-913D-B2F6E29937F2}">
      <dgm:prSet/>
      <dgm:spPr/>
      <dgm:t>
        <a:bodyPr/>
        <a:lstStyle/>
        <a:p>
          <a:endParaRPr lang="en-US"/>
        </a:p>
      </dgm:t>
    </dgm:pt>
    <dgm:pt modelId="{BE874D5A-A73E-472A-BBA0-1F100A577BC9}">
      <dgm:prSet phldrT="[Text]" custT="1"/>
      <dgm:spPr/>
      <dgm:t>
        <a:bodyPr/>
        <a:lstStyle/>
        <a:p>
          <a:r>
            <a:rPr lang="en-US" sz="1000"/>
            <a:t>Buyers ( high price sensitivity and bargaining power)</a:t>
          </a:r>
        </a:p>
      </dgm:t>
    </dgm:pt>
    <dgm:pt modelId="{8D2542D4-497D-4DFE-A38E-877A0904E955}" type="parTrans" cxnId="{E378392C-F1FD-4512-A70F-B1658EA4979E}">
      <dgm:prSet/>
      <dgm:spPr/>
      <dgm:t>
        <a:bodyPr/>
        <a:lstStyle/>
        <a:p>
          <a:endParaRPr lang="en-US"/>
        </a:p>
      </dgm:t>
    </dgm:pt>
    <dgm:pt modelId="{EDDB30D5-36A2-45E8-918D-9FD886D98A66}" type="sibTrans" cxnId="{E378392C-F1FD-4512-A70F-B1658EA4979E}">
      <dgm:prSet/>
      <dgm:spPr/>
      <dgm:t>
        <a:bodyPr/>
        <a:lstStyle/>
        <a:p>
          <a:endParaRPr lang="en-US"/>
        </a:p>
      </dgm:t>
    </dgm:pt>
    <dgm:pt modelId="{FDBAC9D9-7D63-4276-B3AA-CFF462B0FBE1}">
      <dgm:prSet phldrT="[Text]" custT="1"/>
      <dgm:spPr/>
      <dgm:t>
        <a:bodyPr/>
        <a:lstStyle/>
        <a:p>
          <a:r>
            <a:rPr lang="en-US" sz="900"/>
            <a:t>Substitutes ( low propensity to substitute, low relative prices and performance of substitutes</a:t>
          </a:r>
        </a:p>
      </dgm:t>
    </dgm:pt>
    <dgm:pt modelId="{1EA1EC2E-FCCA-4750-9E68-9C4B56EE0449}" type="parTrans" cxnId="{FB7A3C17-3A3E-4EB0-8F1C-DDBD90ABC0D4}">
      <dgm:prSet/>
      <dgm:spPr/>
      <dgm:t>
        <a:bodyPr/>
        <a:lstStyle/>
        <a:p>
          <a:endParaRPr lang="en-US"/>
        </a:p>
      </dgm:t>
    </dgm:pt>
    <dgm:pt modelId="{B2D841BD-B63B-4135-AB1E-F36B9C753F1A}" type="sibTrans" cxnId="{FB7A3C17-3A3E-4EB0-8F1C-DDBD90ABC0D4}">
      <dgm:prSet/>
      <dgm:spPr/>
      <dgm:t>
        <a:bodyPr/>
        <a:lstStyle/>
        <a:p>
          <a:endParaRPr lang="en-US"/>
        </a:p>
      </dgm:t>
    </dgm:pt>
    <dgm:pt modelId="{884ED1CC-492C-4604-AD9D-47B9CE436175}">
      <dgm:prSet phldrT="[Text]" custT="1"/>
      <dgm:spPr/>
      <dgm:t>
        <a:bodyPr/>
        <a:lstStyle/>
        <a:p>
          <a:r>
            <a:rPr lang="en-US" sz="900"/>
            <a:t>Suppliers ( low  price sensitivity and bargaining power)</a:t>
          </a:r>
        </a:p>
      </dgm:t>
    </dgm:pt>
    <dgm:pt modelId="{94BB1D0C-46E0-4135-830C-8DC07533F877}" type="parTrans" cxnId="{6F19B581-9DAE-42BB-A1C6-04EB4E27D3D6}">
      <dgm:prSet/>
      <dgm:spPr/>
      <dgm:t>
        <a:bodyPr/>
        <a:lstStyle/>
        <a:p>
          <a:endParaRPr lang="en-US"/>
        </a:p>
      </dgm:t>
    </dgm:pt>
    <dgm:pt modelId="{E8EA3252-ADD0-41C1-A530-607AA182D674}" type="sibTrans" cxnId="{6F19B581-9DAE-42BB-A1C6-04EB4E27D3D6}">
      <dgm:prSet/>
      <dgm:spPr/>
      <dgm:t>
        <a:bodyPr/>
        <a:lstStyle/>
        <a:p>
          <a:endParaRPr lang="en-US"/>
        </a:p>
      </dgm:t>
    </dgm:pt>
    <dgm:pt modelId="{5131C035-D765-49FA-9584-56DE733838DE}" type="pres">
      <dgm:prSet presAssocID="{E8249489-540A-4EB6-B475-29256FEA05C3}" presName="Name0" presStyleCnt="0">
        <dgm:presLayoutVars>
          <dgm:chMax val="1"/>
          <dgm:dir/>
          <dgm:animLvl val="ctr"/>
          <dgm:resizeHandles val="exact"/>
        </dgm:presLayoutVars>
      </dgm:prSet>
      <dgm:spPr/>
      <dgm:t>
        <a:bodyPr/>
        <a:lstStyle/>
        <a:p>
          <a:endParaRPr lang="en-US"/>
        </a:p>
      </dgm:t>
    </dgm:pt>
    <dgm:pt modelId="{85DE9A1E-04C3-406A-84A7-99E62AF1A059}" type="pres">
      <dgm:prSet presAssocID="{2A55B5E5-7005-4027-8723-E85E79C64E6B}" presName="centerShape" presStyleLbl="node0" presStyleIdx="0" presStyleCnt="1" custLinFactNeighborX="0" custLinFactNeighborY="242"/>
      <dgm:spPr/>
      <dgm:t>
        <a:bodyPr/>
        <a:lstStyle/>
        <a:p>
          <a:endParaRPr lang="en-US"/>
        </a:p>
      </dgm:t>
    </dgm:pt>
    <dgm:pt modelId="{F245F98D-9F26-45DB-AEDD-4514170516E7}" type="pres">
      <dgm:prSet presAssocID="{3F898D7F-AAFF-41B3-BBEE-644A1DA29FB8}" presName="node" presStyleLbl="node1" presStyleIdx="0" presStyleCnt="4">
        <dgm:presLayoutVars>
          <dgm:bulletEnabled val="1"/>
        </dgm:presLayoutVars>
      </dgm:prSet>
      <dgm:spPr/>
      <dgm:t>
        <a:bodyPr/>
        <a:lstStyle/>
        <a:p>
          <a:endParaRPr lang="en-US"/>
        </a:p>
      </dgm:t>
    </dgm:pt>
    <dgm:pt modelId="{DC1DBA50-A947-493A-882A-980CA1F4D8B2}" type="pres">
      <dgm:prSet presAssocID="{3F898D7F-AAFF-41B3-BBEE-644A1DA29FB8}" presName="dummy" presStyleCnt="0"/>
      <dgm:spPr/>
    </dgm:pt>
    <dgm:pt modelId="{946F0936-803E-466E-82F9-1250CCE0AAB7}" type="pres">
      <dgm:prSet presAssocID="{D50B1E4A-37FE-42AC-9E5B-91C5D1CBABF6}" presName="sibTrans" presStyleLbl="sibTrans2D1" presStyleIdx="0" presStyleCnt="4"/>
      <dgm:spPr/>
      <dgm:t>
        <a:bodyPr/>
        <a:lstStyle/>
        <a:p>
          <a:endParaRPr lang="en-US"/>
        </a:p>
      </dgm:t>
    </dgm:pt>
    <dgm:pt modelId="{FFB9FEA1-C4F7-4BF9-91D4-8C798B99958D}" type="pres">
      <dgm:prSet presAssocID="{BE874D5A-A73E-472A-BBA0-1F100A577BC9}" presName="node" presStyleLbl="node1" presStyleIdx="1" presStyleCnt="4">
        <dgm:presLayoutVars>
          <dgm:bulletEnabled val="1"/>
        </dgm:presLayoutVars>
      </dgm:prSet>
      <dgm:spPr/>
      <dgm:t>
        <a:bodyPr/>
        <a:lstStyle/>
        <a:p>
          <a:endParaRPr lang="en-US"/>
        </a:p>
      </dgm:t>
    </dgm:pt>
    <dgm:pt modelId="{6AD644A6-8A37-44C5-9106-71D64171AFC9}" type="pres">
      <dgm:prSet presAssocID="{BE874D5A-A73E-472A-BBA0-1F100A577BC9}" presName="dummy" presStyleCnt="0"/>
      <dgm:spPr/>
    </dgm:pt>
    <dgm:pt modelId="{3DABC85C-80CE-460E-A51F-4AED5BED4EB6}" type="pres">
      <dgm:prSet presAssocID="{EDDB30D5-36A2-45E8-918D-9FD886D98A66}" presName="sibTrans" presStyleLbl="sibTrans2D1" presStyleIdx="1" presStyleCnt="4"/>
      <dgm:spPr/>
      <dgm:t>
        <a:bodyPr/>
        <a:lstStyle/>
        <a:p>
          <a:endParaRPr lang="en-US"/>
        </a:p>
      </dgm:t>
    </dgm:pt>
    <dgm:pt modelId="{431852B9-18FA-4BF0-9067-16D839B5854E}" type="pres">
      <dgm:prSet presAssocID="{FDBAC9D9-7D63-4276-B3AA-CFF462B0FBE1}" presName="node" presStyleLbl="node1" presStyleIdx="2" presStyleCnt="4">
        <dgm:presLayoutVars>
          <dgm:bulletEnabled val="1"/>
        </dgm:presLayoutVars>
      </dgm:prSet>
      <dgm:spPr/>
      <dgm:t>
        <a:bodyPr/>
        <a:lstStyle/>
        <a:p>
          <a:endParaRPr lang="en-US"/>
        </a:p>
      </dgm:t>
    </dgm:pt>
    <dgm:pt modelId="{E8D0F68E-2E85-43C3-A068-E2B227FCFEA0}" type="pres">
      <dgm:prSet presAssocID="{FDBAC9D9-7D63-4276-B3AA-CFF462B0FBE1}" presName="dummy" presStyleCnt="0"/>
      <dgm:spPr/>
    </dgm:pt>
    <dgm:pt modelId="{02B94502-47AF-43C3-B8A2-2C5F999B4AE4}" type="pres">
      <dgm:prSet presAssocID="{B2D841BD-B63B-4135-AB1E-F36B9C753F1A}" presName="sibTrans" presStyleLbl="sibTrans2D1" presStyleIdx="2" presStyleCnt="4"/>
      <dgm:spPr/>
      <dgm:t>
        <a:bodyPr/>
        <a:lstStyle/>
        <a:p>
          <a:endParaRPr lang="en-US"/>
        </a:p>
      </dgm:t>
    </dgm:pt>
    <dgm:pt modelId="{AD2ED1BC-8221-46A2-8310-2B24F6CA33D6}" type="pres">
      <dgm:prSet presAssocID="{884ED1CC-492C-4604-AD9D-47B9CE436175}" presName="node" presStyleLbl="node1" presStyleIdx="3" presStyleCnt="4">
        <dgm:presLayoutVars>
          <dgm:bulletEnabled val="1"/>
        </dgm:presLayoutVars>
      </dgm:prSet>
      <dgm:spPr/>
      <dgm:t>
        <a:bodyPr/>
        <a:lstStyle/>
        <a:p>
          <a:endParaRPr lang="en-US"/>
        </a:p>
      </dgm:t>
    </dgm:pt>
    <dgm:pt modelId="{9A61DEDE-B81E-474F-93F6-F44049238F2A}" type="pres">
      <dgm:prSet presAssocID="{884ED1CC-492C-4604-AD9D-47B9CE436175}" presName="dummy" presStyleCnt="0"/>
      <dgm:spPr/>
    </dgm:pt>
    <dgm:pt modelId="{5BA418CB-F4E8-499C-B4B4-BEC1A28856D4}" type="pres">
      <dgm:prSet presAssocID="{E8EA3252-ADD0-41C1-A530-607AA182D674}" presName="sibTrans" presStyleLbl="sibTrans2D1" presStyleIdx="3" presStyleCnt="4"/>
      <dgm:spPr/>
      <dgm:t>
        <a:bodyPr/>
        <a:lstStyle/>
        <a:p>
          <a:endParaRPr lang="en-US"/>
        </a:p>
      </dgm:t>
    </dgm:pt>
  </dgm:ptLst>
  <dgm:cxnLst>
    <dgm:cxn modelId="{B8DE00C3-72CA-4829-8355-E426915D3576}" type="presOf" srcId="{E8249489-540A-4EB6-B475-29256FEA05C3}" destId="{5131C035-D765-49FA-9584-56DE733838DE}" srcOrd="0" destOrd="0" presId="urn:microsoft.com/office/officeart/2005/8/layout/radial6"/>
    <dgm:cxn modelId="{ECFFDCDB-AEAC-4836-9A5E-E054CE97A024}" type="presOf" srcId="{2A55B5E5-7005-4027-8723-E85E79C64E6B}" destId="{85DE9A1E-04C3-406A-84A7-99E62AF1A059}" srcOrd="0" destOrd="0" presId="urn:microsoft.com/office/officeart/2005/8/layout/radial6"/>
    <dgm:cxn modelId="{B827406D-95F4-4FE5-AE17-A7CF79D98EC8}" type="presOf" srcId="{B2D841BD-B63B-4135-AB1E-F36B9C753F1A}" destId="{02B94502-47AF-43C3-B8A2-2C5F999B4AE4}" srcOrd="0" destOrd="0" presId="urn:microsoft.com/office/officeart/2005/8/layout/radial6"/>
    <dgm:cxn modelId="{3AB8941D-9EC6-4B3D-987C-AD13D610B603}" type="presOf" srcId="{FDBAC9D9-7D63-4276-B3AA-CFF462B0FBE1}" destId="{431852B9-18FA-4BF0-9067-16D839B5854E}" srcOrd="0" destOrd="0" presId="urn:microsoft.com/office/officeart/2005/8/layout/radial6"/>
    <dgm:cxn modelId="{E378392C-F1FD-4512-A70F-B1658EA4979E}" srcId="{2A55B5E5-7005-4027-8723-E85E79C64E6B}" destId="{BE874D5A-A73E-472A-BBA0-1F100A577BC9}" srcOrd="1" destOrd="0" parTransId="{8D2542D4-497D-4DFE-A38E-877A0904E955}" sibTransId="{EDDB30D5-36A2-45E8-918D-9FD886D98A66}"/>
    <dgm:cxn modelId="{E583B370-B3C5-44CB-AB0E-036CCDE5DF89}" type="presOf" srcId="{884ED1CC-492C-4604-AD9D-47B9CE436175}" destId="{AD2ED1BC-8221-46A2-8310-2B24F6CA33D6}" srcOrd="0" destOrd="0" presId="urn:microsoft.com/office/officeart/2005/8/layout/radial6"/>
    <dgm:cxn modelId="{499363A9-9818-469E-BB9C-2D25361C3E7A}" type="presOf" srcId="{EDDB30D5-36A2-45E8-918D-9FD886D98A66}" destId="{3DABC85C-80CE-460E-A51F-4AED5BED4EB6}" srcOrd="0" destOrd="0" presId="urn:microsoft.com/office/officeart/2005/8/layout/radial6"/>
    <dgm:cxn modelId="{9595AFD1-2F29-4447-9801-C4F2923AD36C}" type="presOf" srcId="{3F898D7F-AAFF-41B3-BBEE-644A1DA29FB8}" destId="{F245F98D-9F26-45DB-AEDD-4514170516E7}" srcOrd="0" destOrd="0" presId="urn:microsoft.com/office/officeart/2005/8/layout/radial6"/>
    <dgm:cxn modelId="{874C64F8-2666-4987-814D-E9A5778DEA35}" type="presOf" srcId="{E8EA3252-ADD0-41C1-A530-607AA182D674}" destId="{5BA418CB-F4E8-499C-B4B4-BEC1A28856D4}" srcOrd="0" destOrd="0" presId="urn:microsoft.com/office/officeart/2005/8/layout/radial6"/>
    <dgm:cxn modelId="{3B008740-AC73-49C6-913D-B2F6E29937F2}" srcId="{2A55B5E5-7005-4027-8723-E85E79C64E6B}" destId="{3F898D7F-AAFF-41B3-BBEE-644A1DA29FB8}" srcOrd="0" destOrd="0" parTransId="{1F90E984-DEDB-4311-BB37-F511E58A3BB4}" sibTransId="{D50B1E4A-37FE-42AC-9E5B-91C5D1CBABF6}"/>
    <dgm:cxn modelId="{6667CF52-2701-4E53-A3C9-C2B33B71935F}" type="presOf" srcId="{D50B1E4A-37FE-42AC-9E5B-91C5D1CBABF6}" destId="{946F0936-803E-466E-82F9-1250CCE0AAB7}" srcOrd="0" destOrd="0" presId="urn:microsoft.com/office/officeart/2005/8/layout/radial6"/>
    <dgm:cxn modelId="{6F19B581-9DAE-42BB-A1C6-04EB4E27D3D6}" srcId="{2A55B5E5-7005-4027-8723-E85E79C64E6B}" destId="{884ED1CC-492C-4604-AD9D-47B9CE436175}" srcOrd="3" destOrd="0" parTransId="{94BB1D0C-46E0-4135-830C-8DC07533F877}" sibTransId="{E8EA3252-ADD0-41C1-A530-607AA182D674}"/>
    <dgm:cxn modelId="{FB7A3C17-3A3E-4EB0-8F1C-DDBD90ABC0D4}" srcId="{2A55B5E5-7005-4027-8723-E85E79C64E6B}" destId="{FDBAC9D9-7D63-4276-B3AA-CFF462B0FBE1}" srcOrd="2" destOrd="0" parTransId="{1EA1EC2E-FCCA-4750-9E68-9C4B56EE0449}" sibTransId="{B2D841BD-B63B-4135-AB1E-F36B9C753F1A}"/>
    <dgm:cxn modelId="{5C2E3C29-B475-4432-B014-47291AD8E955}" srcId="{E8249489-540A-4EB6-B475-29256FEA05C3}" destId="{2A55B5E5-7005-4027-8723-E85E79C64E6B}" srcOrd="0" destOrd="0" parTransId="{B0AF611D-84B1-4F94-B361-243D094351E9}" sibTransId="{F2F83965-6584-4936-8A7C-C5E5E6A548F5}"/>
    <dgm:cxn modelId="{5291ACD6-7B44-42A4-8662-2C9F787DCB70}" type="presOf" srcId="{BE874D5A-A73E-472A-BBA0-1F100A577BC9}" destId="{FFB9FEA1-C4F7-4BF9-91D4-8C798B99958D}" srcOrd="0" destOrd="0" presId="urn:microsoft.com/office/officeart/2005/8/layout/radial6"/>
    <dgm:cxn modelId="{8D1C6CC8-A9A2-41D2-9EF9-7F2905E3E972}" type="presParOf" srcId="{5131C035-D765-49FA-9584-56DE733838DE}" destId="{85DE9A1E-04C3-406A-84A7-99E62AF1A059}" srcOrd="0" destOrd="0" presId="urn:microsoft.com/office/officeart/2005/8/layout/radial6"/>
    <dgm:cxn modelId="{70769B3F-06C1-45F7-A3B8-EB229590DE1C}" type="presParOf" srcId="{5131C035-D765-49FA-9584-56DE733838DE}" destId="{F245F98D-9F26-45DB-AEDD-4514170516E7}" srcOrd="1" destOrd="0" presId="urn:microsoft.com/office/officeart/2005/8/layout/radial6"/>
    <dgm:cxn modelId="{BE71B6E0-D20D-4EF5-904D-23537C37D95F}" type="presParOf" srcId="{5131C035-D765-49FA-9584-56DE733838DE}" destId="{DC1DBA50-A947-493A-882A-980CA1F4D8B2}" srcOrd="2" destOrd="0" presId="urn:microsoft.com/office/officeart/2005/8/layout/radial6"/>
    <dgm:cxn modelId="{A48B27A8-88C8-4F25-9D02-5330D7CD620A}" type="presParOf" srcId="{5131C035-D765-49FA-9584-56DE733838DE}" destId="{946F0936-803E-466E-82F9-1250CCE0AAB7}" srcOrd="3" destOrd="0" presId="urn:microsoft.com/office/officeart/2005/8/layout/radial6"/>
    <dgm:cxn modelId="{2BB64EAA-139D-44F3-9491-F4C8E7C40B84}" type="presParOf" srcId="{5131C035-D765-49FA-9584-56DE733838DE}" destId="{FFB9FEA1-C4F7-4BF9-91D4-8C798B99958D}" srcOrd="4" destOrd="0" presId="urn:microsoft.com/office/officeart/2005/8/layout/radial6"/>
    <dgm:cxn modelId="{04B9AD57-0841-486B-A051-155FC8B05989}" type="presParOf" srcId="{5131C035-D765-49FA-9584-56DE733838DE}" destId="{6AD644A6-8A37-44C5-9106-71D64171AFC9}" srcOrd="5" destOrd="0" presId="urn:microsoft.com/office/officeart/2005/8/layout/radial6"/>
    <dgm:cxn modelId="{7D5BC7AD-AD7C-42E3-98C0-0DF0DD98F0A7}" type="presParOf" srcId="{5131C035-D765-49FA-9584-56DE733838DE}" destId="{3DABC85C-80CE-460E-A51F-4AED5BED4EB6}" srcOrd="6" destOrd="0" presId="urn:microsoft.com/office/officeart/2005/8/layout/radial6"/>
    <dgm:cxn modelId="{D8B3523A-2766-41AE-9E14-02D569F5DA4F}" type="presParOf" srcId="{5131C035-D765-49FA-9584-56DE733838DE}" destId="{431852B9-18FA-4BF0-9067-16D839B5854E}" srcOrd="7" destOrd="0" presId="urn:microsoft.com/office/officeart/2005/8/layout/radial6"/>
    <dgm:cxn modelId="{682F5227-79DF-4CBD-A547-F859E397023E}" type="presParOf" srcId="{5131C035-D765-49FA-9584-56DE733838DE}" destId="{E8D0F68E-2E85-43C3-A068-E2B227FCFEA0}" srcOrd="8" destOrd="0" presId="urn:microsoft.com/office/officeart/2005/8/layout/radial6"/>
    <dgm:cxn modelId="{C96DC790-3B91-431C-98DD-139526BDC221}" type="presParOf" srcId="{5131C035-D765-49FA-9584-56DE733838DE}" destId="{02B94502-47AF-43C3-B8A2-2C5F999B4AE4}" srcOrd="9" destOrd="0" presId="urn:microsoft.com/office/officeart/2005/8/layout/radial6"/>
    <dgm:cxn modelId="{6230A108-29B2-4978-B3AD-5C1D54F57A0E}" type="presParOf" srcId="{5131C035-D765-49FA-9584-56DE733838DE}" destId="{AD2ED1BC-8221-46A2-8310-2B24F6CA33D6}" srcOrd="10" destOrd="0" presId="urn:microsoft.com/office/officeart/2005/8/layout/radial6"/>
    <dgm:cxn modelId="{1BB6D6F1-60A2-448F-B455-42AACC45EFF0}" type="presParOf" srcId="{5131C035-D765-49FA-9584-56DE733838DE}" destId="{9A61DEDE-B81E-474F-93F6-F44049238F2A}" srcOrd="11" destOrd="0" presId="urn:microsoft.com/office/officeart/2005/8/layout/radial6"/>
    <dgm:cxn modelId="{B64D4F21-0A5A-45E0-BDE2-E6E2C5AFB789}" type="presParOf" srcId="{5131C035-D765-49FA-9584-56DE733838DE}" destId="{5BA418CB-F4E8-499C-B4B4-BEC1A28856D4}" srcOrd="12" destOrd="0" presId="urn:microsoft.com/office/officeart/2005/8/layout/radial6"/>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A418CB-F4E8-499C-B4B4-BEC1A28856D4}">
      <dsp:nvSpPr>
        <dsp:cNvPr id="0" name=""/>
        <dsp:cNvSpPr/>
      </dsp:nvSpPr>
      <dsp:spPr>
        <a:xfrm>
          <a:off x="733114" y="603084"/>
          <a:ext cx="4020171" cy="4020171"/>
        </a:xfrm>
        <a:prstGeom prst="blockArc">
          <a:avLst>
            <a:gd name="adj1" fmla="val 10800000"/>
            <a:gd name="adj2" fmla="val 16200000"/>
            <a:gd name="adj3" fmla="val 4641"/>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2B94502-47AF-43C3-B8A2-2C5F999B4AE4}">
      <dsp:nvSpPr>
        <dsp:cNvPr id="0" name=""/>
        <dsp:cNvSpPr/>
      </dsp:nvSpPr>
      <dsp:spPr>
        <a:xfrm>
          <a:off x="733114" y="603084"/>
          <a:ext cx="4020171" cy="4020171"/>
        </a:xfrm>
        <a:prstGeom prst="blockArc">
          <a:avLst>
            <a:gd name="adj1" fmla="val 5400000"/>
            <a:gd name="adj2" fmla="val 10800000"/>
            <a:gd name="adj3" fmla="val 4641"/>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3DABC85C-80CE-460E-A51F-4AED5BED4EB6}">
      <dsp:nvSpPr>
        <dsp:cNvPr id="0" name=""/>
        <dsp:cNvSpPr/>
      </dsp:nvSpPr>
      <dsp:spPr>
        <a:xfrm>
          <a:off x="733114" y="603084"/>
          <a:ext cx="4020171" cy="4020171"/>
        </a:xfrm>
        <a:prstGeom prst="blockArc">
          <a:avLst>
            <a:gd name="adj1" fmla="val 0"/>
            <a:gd name="adj2" fmla="val 5400000"/>
            <a:gd name="adj3" fmla="val 4641"/>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946F0936-803E-466E-82F9-1250CCE0AAB7}">
      <dsp:nvSpPr>
        <dsp:cNvPr id="0" name=""/>
        <dsp:cNvSpPr/>
      </dsp:nvSpPr>
      <dsp:spPr>
        <a:xfrm>
          <a:off x="733114" y="603084"/>
          <a:ext cx="4020171" cy="4020171"/>
        </a:xfrm>
        <a:prstGeom prst="blockArc">
          <a:avLst>
            <a:gd name="adj1" fmla="val 16200000"/>
            <a:gd name="adj2" fmla="val 0"/>
            <a:gd name="adj3" fmla="val 4641"/>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85DE9A1E-04C3-406A-84A7-99E62AF1A059}">
      <dsp:nvSpPr>
        <dsp:cNvPr id="0" name=""/>
        <dsp:cNvSpPr/>
      </dsp:nvSpPr>
      <dsp:spPr>
        <a:xfrm>
          <a:off x="1817637" y="1687608"/>
          <a:ext cx="1851124" cy="1851124"/>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Industry competitors</a:t>
          </a:r>
        </a:p>
        <a:p>
          <a:pPr lvl="0" algn="ctr" defTabSz="400050">
            <a:lnSpc>
              <a:spcPct val="90000"/>
            </a:lnSpc>
            <a:spcBef>
              <a:spcPct val="0"/>
            </a:spcBef>
            <a:spcAft>
              <a:spcPct val="35000"/>
            </a:spcAft>
          </a:pPr>
          <a:endParaRPr lang="en-US" sz="900" kern="1200"/>
        </a:p>
        <a:p>
          <a:pPr lvl="0" algn="ctr" defTabSz="400050">
            <a:lnSpc>
              <a:spcPct val="90000"/>
            </a:lnSpc>
            <a:spcBef>
              <a:spcPct val="0"/>
            </a:spcBef>
            <a:spcAft>
              <a:spcPct val="35000"/>
            </a:spcAft>
          </a:pPr>
          <a:r>
            <a:rPr lang="en-US" sz="900" kern="1200"/>
            <a:t>Intensity of rivalry (low concentration, high level of competitors, high product differentiation, high excess capacity and exit barriers, high cost conditions. </a:t>
          </a:r>
        </a:p>
      </dsp:txBody>
      <dsp:txXfrm>
        <a:off x="2088728" y="1958699"/>
        <a:ext cx="1308942" cy="1308942"/>
      </dsp:txXfrm>
    </dsp:sp>
    <dsp:sp modelId="{F245F98D-9F26-45DB-AEDD-4514170516E7}">
      <dsp:nvSpPr>
        <dsp:cNvPr id="0" name=""/>
        <dsp:cNvSpPr/>
      </dsp:nvSpPr>
      <dsp:spPr>
        <a:xfrm>
          <a:off x="2095306" y="1839"/>
          <a:ext cx="1295786" cy="1295786"/>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New entrants</a:t>
          </a:r>
        </a:p>
        <a:p>
          <a:pPr lvl="0" algn="ctr" defTabSz="400050">
            <a:lnSpc>
              <a:spcPct val="90000"/>
            </a:lnSpc>
            <a:spcBef>
              <a:spcPct val="0"/>
            </a:spcBef>
            <a:spcAft>
              <a:spcPct val="35000"/>
            </a:spcAft>
          </a:pPr>
          <a:r>
            <a:rPr lang="en-US" sz="900" kern="1200"/>
            <a:t>(high economics of scale, high capital outlay, high regulation, high product deferentiaotion</a:t>
          </a:r>
        </a:p>
        <a:p>
          <a:pPr lvl="0" algn="ctr" defTabSz="400050">
            <a:lnSpc>
              <a:spcPct val="90000"/>
            </a:lnSpc>
            <a:spcBef>
              <a:spcPct val="0"/>
            </a:spcBef>
            <a:spcAft>
              <a:spcPct val="35000"/>
            </a:spcAft>
          </a:pPr>
          <a:endParaRPr lang="en-US" sz="900" kern="1200"/>
        </a:p>
      </dsp:txBody>
      <dsp:txXfrm>
        <a:off x="2285069" y="191602"/>
        <a:ext cx="916260" cy="916260"/>
      </dsp:txXfrm>
    </dsp:sp>
    <dsp:sp modelId="{FFB9FEA1-C4F7-4BF9-91D4-8C798B99958D}">
      <dsp:nvSpPr>
        <dsp:cNvPr id="0" name=""/>
        <dsp:cNvSpPr/>
      </dsp:nvSpPr>
      <dsp:spPr>
        <a:xfrm>
          <a:off x="4058744" y="1965277"/>
          <a:ext cx="1295786" cy="1295786"/>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Buyers ( high price sensitivity and bargaining power)</a:t>
          </a:r>
        </a:p>
      </dsp:txBody>
      <dsp:txXfrm>
        <a:off x="4248507" y="2155040"/>
        <a:ext cx="916260" cy="916260"/>
      </dsp:txXfrm>
    </dsp:sp>
    <dsp:sp modelId="{431852B9-18FA-4BF0-9067-16D839B5854E}">
      <dsp:nvSpPr>
        <dsp:cNvPr id="0" name=""/>
        <dsp:cNvSpPr/>
      </dsp:nvSpPr>
      <dsp:spPr>
        <a:xfrm>
          <a:off x="2095306" y="3928714"/>
          <a:ext cx="1295786" cy="1295786"/>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Substitutes ( low propensity to substitute, low relative prices and performance of substitutes</a:t>
          </a:r>
        </a:p>
      </dsp:txBody>
      <dsp:txXfrm>
        <a:off x="2285069" y="4118477"/>
        <a:ext cx="916260" cy="916260"/>
      </dsp:txXfrm>
    </dsp:sp>
    <dsp:sp modelId="{AD2ED1BC-8221-46A2-8310-2B24F6CA33D6}">
      <dsp:nvSpPr>
        <dsp:cNvPr id="0" name=""/>
        <dsp:cNvSpPr/>
      </dsp:nvSpPr>
      <dsp:spPr>
        <a:xfrm>
          <a:off x="131868" y="1965277"/>
          <a:ext cx="1295786" cy="1295786"/>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Suppliers ( low  price sensitivity and bargaining power)</a:t>
          </a:r>
        </a:p>
      </dsp:txBody>
      <dsp:txXfrm>
        <a:off x="321631" y="2155040"/>
        <a:ext cx="916260" cy="91626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87B26FE-4C33-4B69-AE6A-FB90E3509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2154</Words>
  <Characters>12282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2019-09-19T05:05:00Z</dcterms:created>
  <dcterms:modified xsi:type="dcterms:W3CDTF">2019-09-19T05:05:00Z</dcterms:modified>
</cp:coreProperties>
</file>